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A878A6"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6D1467" w:rsidRDefault="006D1467" w:rsidP="00FF3651">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sidR="009F1739">
              <w:rPr>
                <w:rFonts w:ascii="Calibri" w:hAnsi="Calibri"/>
                <w:b/>
                <w:sz w:val="36"/>
                <w:szCs w:val="36"/>
                <w:lang w:val="el-GR"/>
              </w:rPr>
              <w:t>2021-2027</w:t>
            </w:r>
            <w:r w:rsidR="004620EB" w:rsidRPr="00D26A35">
              <w:rPr>
                <w:rFonts w:ascii="Calibri" w:hAnsi="Calibri"/>
                <w:b/>
                <w:sz w:val="36"/>
                <w:szCs w:val="36"/>
                <w:lang w:val="el-GR"/>
              </w:rPr>
              <w:t xml:space="preserve"> </w:t>
            </w:r>
            <w:r w:rsidRPr="00491826">
              <w:rPr>
                <w:rFonts w:ascii="Calibri" w:hAnsi="Calibri"/>
                <w:b/>
                <w:sz w:val="36"/>
                <w:szCs w:val="36"/>
                <w:lang w:val="el-GR"/>
              </w:rPr>
              <w:t>ΕΠΙΧΕΙΡΗΣΙΑΚΟΥ ΠΡΟΓΡΑΜΜΑΤΟΣ ΕΣΠΑ</w:t>
            </w:r>
          </w:p>
          <w:p w:rsidR="00FF3651" w:rsidRPr="00491826" w:rsidRDefault="00FF3651" w:rsidP="002478DD">
            <w:pPr>
              <w:spacing w:line="276" w:lineRule="auto"/>
              <w:jc w:val="center"/>
              <w:rPr>
                <w:rFonts w:ascii="Calibri" w:hAnsi="Calibri"/>
                <w:b/>
                <w:sz w:val="36"/>
                <w:szCs w:val="36"/>
                <w:lang w:val="el-GR"/>
              </w:rPr>
            </w:pPr>
            <w:r>
              <w:rPr>
                <w:rFonts w:ascii="Calibri" w:hAnsi="Calibri"/>
                <w:b/>
                <w:sz w:val="36"/>
                <w:szCs w:val="36"/>
                <w:lang w:val="el-GR"/>
              </w:rPr>
              <w:t xml:space="preserve">(Επικοινωνία με </w:t>
            </w:r>
            <w:r w:rsidR="002478DD">
              <w:rPr>
                <w:rFonts w:ascii="Calibri" w:hAnsi="Calibri"/>
                <w:b/>
                <w:sz w:val="36"/>
                <w:szCs w:val="36"/>
                <w:lang w:val="el-GR"/>
              </w:rPr>
              <w:t>ΜΟΔΥ</w:t>
            </w:r>
            <w:r>
              <w:rPr>
                <w:rFonts w:ascii="Calibri" w:hAnsi="Calibri"/>
                <w:b/>
                <w:sz w:val="36"/>
                <w:szCs w:val="36"/>
                <w:lang w:val="el-GR"/>
              </w:rPr>
              <w:t>/Τμήμα ΕΣΠΑ)</w:t>
            </w:r>
          </w:p>
        </w:tc>
      </w:tr>
    </w:tbl>
    <w:p w:rsidR="00860F11" w:rsidRPr="0007383D" w:rsidRDefault="00860F11" w:rsidP="00D47095">
      <w:pPr>
        <w:spacing w:line="276" w:lineRule="auto"/>
        <w:jc w:val="center"/>
        <w:rPr>
          <w:rFonts w:ascii="Calibri" w:hAnsi="Calibri"/>
          <w:sz w:val="22"/>
          <w:szCs w:val="22"/>
          <w:lang w:val="el-GR"/>
        </w:rPr>
      </w:pPr>
    </w:p>
    <w:p w:rsidR="00516FED" w:rsidRDefault="002D626D"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D26A35"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D8278A" w:rsidP="009E4C40">
      <w:pPr>
        <w:spacing w:line="276" w:lineRule="auto"/>
        <w:jc w:val="both"/>
        <w:rPr>
          <w:rFonts w:ascii="Calibri" w:hAnsi="Calibri"/>
          <w:sz w:val="21"/>
          <w:szCs w:val="21"/>
          <w:lang w:val="el-GR"/>
        </w:rPr>
      </w:pPr>
      <w:r w:rsidRPr="00D26A35">
        <w:rPr>
          <w:rFonts w:ascii="Calibri" w:hAnsi="Calibri"/>
          <w:sz w:val="21"/>
          <w:szCs w:val="21"/>
          <w:lang w:val="el-GR"/>
        </w:rPr>
        <w:t>Στην Αθήνα μεταξύ</w:t>
      </w:r>
      <w:r w:rsidR="009A2464"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9374B5">
        <w:rPr>
          <w:rFonts w:ascii="Calibri" w:hAnsi="Calibri"/>
          <w:sz w:val="21"/>
          <w:szCs w:val="21"/>
          <w:lang w:val="el-GR"/>
        </w:rPr>
        <w:t>τ</w:t>
      </w:r>
      <w:r w:rsidR="00162069" w:rsidRPr="00162069">
        <w:rPr>
          <w:rFonts w:ascii="Calibri" w:hAnsi="Calibri"/>
          <w:sz w:val="21"/>
          <w:szCs w:val="21"/>
          <w:lang w:val="el-GR"/>
        </w:rPr>
        <w:t>ο</w:t>
      </w:r>
      <w:r w:rsidR="009374B5">
        <w:rPr>
          <w:rFonts w:ascii="Calibri" w:hAnsi="Calibri"/>
          <w:sz w:val="21"/>
          <w:szCs w:val="21"/>
          <w:lang w:val="el-GR"/>
        </w:rPr>
        <w:t>υ</w:t>
      </w:r>
      <w:r w:rsidR="00162069" w:rsidRPr="00162069">
        <w:rPr>
          <w:rFonts w:ascii="Calibri" w:hAnsi="Calibri"/>
          <w:sz w:val="21"/>
          <w:szCs w:val="21"/>
          <w:lang w:val="el-GR"/>
        </w:rPr>
        <w:t xml:space="preserve"> Ειδικ</w:t>
      </w:r>
      <w:r w:rsidR="009374B5">
        <w:rPr>
          <w:rFonts w:ascii="Calibri" w:hAnsi="Calibri"/>
          <w:sz w:val="21"/>
          <w:szCs w:val="21"/>
          <w:lang w:val="el-GR"/>
        </w:rPr>
        <w:t>ού</w:t>
      </w:r>
      <w:r w:rsidR="00162069" w:rsidRPr="00162069">
        <w:rPr>
          <w:rFonts w:ascii="Calibri" w:hAnsi="Calibri"/>
          <w:sz w:val="21"/>
          <w:szCs w:val="21"/>
          <w:lang w:val="el-GR"/>
        </w:rPr>
        <w:t xml:space="preserve"> Λογαριασμ</w:t>
      </w:r>
      <w:r w:rsidR="009374B5">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D26A35">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9F1739">
        <w:rPr>
          <w:rFonts w:ascii="Calibri" w:hAnsi="Calibri"/>
          <w:sz w:val="21"/>
          <w:szCs w:val="21"/>
          <w:lang w:val="el-GR"/>
        </w:rPr>
        <w:t xml:space="preserve">Εμμανουήλ </w:t>
      </w:r>
      <w:proofErr w:type="spellStart"/>
      <w:r w:rsidR="009F1739">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9374B5">
        <w:rPr>
          <w:rFonts w:ascii="Calibri" w:hAnsi="Calibri"/>
          <w:sz w:val="21"/>
          <w:szCs w:val="21"/>
          <w:lang w:val="el-GR"/>
        </w:rPr>
        <w:t>του/της</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9374B5">
        <w:rPr>
          <w:rFonts w:ascii="Calibri" w:hAnsi="Calibri"/>
          <w:sz w:val="21"/>
          <w:szCs w:val="21"/>
          <w:lang w:val="el-GR"/>
        </w:rPr>
        <w:t>ού Υπευθύνου</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υλοποιείται στο πλαίσιο του Επιχειρησιακού Προγράμματος ……………………………………………………………………….……………………………………………………… και συγχρηματοδοτείται από την Ευρωπαϊκή Ένωση (</w:t>
      </w:r>
      <w:r w:rsidR="00A41CEB" w:rsidRPr="008813A2">
        <w:rPr>
          <w:rFonts w:ascii="Calibri" w:hAnsi="Calibri"/>
          <w:sz w:val="21"/>
          <w:szCs w:val="21"/>
          <w:lang w:val="el-GR"/>
        </w:rPr>
        <w:t>………………………..</w:t>
      </w:r>
      <w:r w:rsidR="00EC71F8" w:rsidRPr="008813A2">
        <w:rPr>
          <w:rFonts w:ascii="Calibri" w:hAnsi="Calibri"/>
          <w:sz w:val="21"/>
          <w:szCs w:val="21"/>
          <w:lang w:val="el-GR"/>
        </w:rPr>
        <w:t>)</w:t>
      </w:r>
      <w:r w:rsidR="00EC71F8" w:rsidRPr="0007383D">
        <w:rPr>
          <w:rFonts w:ascii="Calibri" w:hAnsi="Calibri"/>
          <w:sz w:val="21"/>
          <w:szCs w:val="21"/>
          <w:lang w:val="el-GR"/>
        </w:rPr>
        <w:t xml:space="preserve"> 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9374B5">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A267B" w:rsidP="00516E74">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615315">
        <w:rPr>
          <w:rFonts w:ascii="Calibri" w:hAnsi="Calibri"/>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lastRenderedPageBreak/>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 xml:space="preserve">…../…../201….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…../…../201….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A878A6"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lastRenderedPageBreak/>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A878A6" w:rsidRPr="00A878A6" w:rsidRDefault="00A878A6" w:rsidP="00A878A6">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FA2CAC" w:rsidP="00A543B4">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Η σύμβαση αυτή υπογράφεται</w:t>
      </w:r>
      <w:r w:rsidR="00BD33ED" w:rsidRPr="00881776">
        <w:rPr>
          <w:rFonts w:ascii="Calibri" w:hAnsi="Calibri"/>
          <w:sz w:val="21"/>
          <w:szCs w:val="21"/>
          <w:lang w:val="el-GR"/>
        </w:rPr>
        <w:t>:</w:t>
      </w:r>
      <w:r w:rsidRPr="00881776">
        <w:rPr>
          <w:rFonts w:ascii="Calibri" w:hAnsi="Calibri"/>
          <w:sz w:val="21"/>
          <w:szCs w:val="21"/>
          <w:lang w:val="el-GR"/>
        </w:rPr>
        <w:t xml:space="preserve">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w:t>
      </w:r>
      <w:proofErr w:type="spellStart"/>
      <w:r w:rsidRPr="00881776">
        <w:rPr>
          <w:rFonts w:ascii="Calibri" w:hAnsi="Calibri"/>
          <w:sz w:val="21"/>
          <w:szCs w:val="21"/>
          <w:lang w:val="el-GR"/>
        </w:rPr>
        <w:t>gov.gr</w:t>
      </w:r>
      <w:proofErr w:type="spellEnd"/>
      <w:r w:rsidRPr="00881776">
        <w:rPr>
          <w:rFonts w:ascii="Calibri" w:hAnsi="Calibri"/>
          <w:sz w:val="21"/>
          <w:szCs w:val="21"/>
          <w:lang w:val="el-GR"/>
        </w:rPr>
        <w:t>) από τον Επιστημονικό Υπεύθυνο και τον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9F1739" w:rsidRPr="009F1739">
              <w:rPr>
                <w:rFonts w:ascii="Calibri" w:hAnsi="Calibri"/>
                <w:sz w:val="21"/>
                <w:szCs w:val="21"/>
                <w:lang w:val="el-GR"/>
              </w:rPr>
              <w:t xml:space="preserve">Εμμανουήλ </w:t>
            </w:r>
            <w:proofErr w:type="spellStart"/>
            <w:r w:rsidR="009F1739" w:rsidRPr="009F1739">
              <w:rPr>
                <w:rFonts w:ascii="Calibri" w:hAnsi="Calibri"/>
                <w:sz w:val="21"/>
                <w:szCs w:val="21"/>
                <w:lang w:val="el-GR"/>
              </w:rPr>
              <w:t>Βαρβαρίγος</w:t>
            </w:r>
            <w:proofErr w:type="spellEnd"/>
          </w:p>
          <w:p w:rsidR="008C3003" w:rsidRPr="008C3003" w:rsidRDefault="008C3003" w:rsidP="00DA0467">
            <w:pPr>
              <w:ind w:right="7"/>
              <w:jc w:val="center"/>
              <w:rPr>
                <w:rFonts w:ascii="Calibri" w:hAnsi="Calibri"/>
                <w:sz w:val="21"/>
                <w:szCs w:val="21"/>
                <w:lang w:val="el-GR"/>
              </w:rPr>
            </w:pP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8"/>
      <w:footerReference w:type="first" r:id="rId9"/>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B59" w:rsidRDefault="00213B59">
      <w:r>
        <w:separator/>
      </w:r>
    </w:p>
  </w:endnote>
  <w:endnote w:type="continuationSeparator" w:id="0">
    <w:p w:rsidR="00213B59" w:rsidRDefault="00213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DC06D3" w:rsidRPr="008813A2">
      <w:rPr>
        <w:b/>
        <w:sz w:val="16"/>
        <w:szCs w:val="16"/>
      </w:rPr>
      <w:fldChar w:fldCharType="begin"/>
    </w:r>
    <w:r w:rsidRPr="008813A2">
      <w:rPr>
        <w:b/>
        <w:sz w:val="16"/>
        <w:szCs w:val="16"/>
      </w:rPr>
      <w:instrText xml:space="preserve"> PAGE </w:instrText>
    </w:r>
    <w:r w:rsidR="00DC06D3" w:rsidRPr="008813A2">
      <w:rPr>
        <w:b/>
        <w:sz w:val="16"/>
        <w:szCs w:val="16"/>
      </w:rPr>
      <w:fldChar w:fldCharType="separate"/>
    </w:r>
    <w:r w:rsidR="00A878A6">
      <w:rPr>
        <w:b/>
        <w:noProof/>
        <w:sz w:val="16"/>
        <w:szCs w:val="16"/>
      </w:rPr>
      <w:t>1</w:t>
    </w:r>
    <w:r w:rsidR="00DC06D3"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DC06D3" w:rsidRPr="008813A2">
      <w:rPr>
        <w:b/>
        <w:sz w:val="16"/>
        <w:szCs w:val="16"/>
      </w:rPr>
      <w:fldChar w:fldCharType="begin"/>
    </w:r>
    <w:r w:rsidRPr="008813A2">
      <w:rPr>
        <w:b/>
        <w:sz w:val="16"/>
        <w:szCs w:val="16"/>
      </w:rPr>
      <w:instrText xml:space="preserve"> NUMPAGES  </w:instrText>
    </w:r>
    <w:r w:rsidR="00DC06D3" w:rsidRPr="008813A2">
      <w:rPr>
        <w:b/>
        <w:sz w:val="16"/>
        <w:szCs w:val="16"/>
      </w:rPr>
      <w:fldChar w:fldCharType="separate"/>
    </w:r>
    <w:r w:rsidR="00A878A6">
      <w:rPr>
        <w:b/>
        <w:noProof/>
        <w:sz w:val="16"/>
        <w:szCs w:val="16"/>
      </w:rPr>
      <w:t>3</w:t>
    </w:r>
    <w:r w:rsidR="00DC06D3"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DC06D3" w:rsidRPr="008813A2">
      <w:rPr>
        <w:b/>
        <w:sz w:val="16"/>
        <w:szCs w:val="16"/>
      </w:rPr>
      <w:fldChar w:fldCharType="begin"/>
    </w:r>
    <w:r w:rsidRPr="008813A2">
      <w:rPr>
        <w:b/>
        <w:sz w:val="16"/>
        <w:szCs w:val="16"/>
      </w:rPr>
      <w:instrText xml:space="preserve"> PAGE </w:instrText>
    </w:r>
    <w:r w:rsidR="00DC06D3" w:rsidRPr="008813A2">
      <w:rPr>
        <w:b/>
        <w:sz w:val="16"/>
        <w:szCs w:val="16"/>
      </w:rPr>
      <w:fldChar w:fldCharType="separate"/>
    </w:r>
    <w:r>
      <w:rPr>
        <w:b/>
        <w:noProof/>
        <w:sz w:val="16"/>
        <w:szCs w:val="16"/>
      </w:rPr>
      <w:t>1</w:t>
    </w:r>
    <w:r w:rsidR="00DC06D3" w:rsidRPr="008813A2">
      <w:rPr>
        <w:b/>
        <w:sz w:val="16"/>
        <w:szCs w:val="16"/>
      </w:rPr>
      <w:fldChar w:fldCharType="end"/>
    </w:r>
    <w:r w:rsidRPr="008813A2">
      <w:rPr>
        <w:sz w:val="16"/>
        <w:szCs w:val="16"/>
      </w:rPr>
      <w:t xml:space="preserve"> of </w:t>
    </w:r>
    <w:r w:rsidR="00DC06D3" w:rsidRPr="008813A2">
      <w:rPr>
        <w:b/>
        <w:sz w:val="16"/>
        <w:szCs w:val="16"/>
      </w:rPr>
      <w:fldChar w:fldCharType="begin"/>
    </w:r>
    <w:r w:rsidRPr="008813A2">
      <w:rPr>
        <w:b/>
        <w:sz w:val="16"/>
        <w:szCs w:val="16"/>
      </w:rPr>
      <w:instrText xml:space="preserve"> NUMPAGES  </w:instrText>
    </w:r>
    <w:r w:rsidR="00DC06D3" w:rsidRPr="008813A2">
      <w:rPr>
        <w:b/>
        <w:sz w:val="16"/>
        <w:szCs w:val="16"/>
      </w:rPr>
      <w:fldChar w:fldCharType="separate"/>
    </w:r>
    <w:r w:rsidR="009A15C4">
      <w:rPr>
        <w:b/>
        <w:noProof/>
        <w:sz w:val="16"/>
        <w:szCs w:val="16"/>
      </w:rPr>
      <w:t>3</w:t>
    </w:r>
    <w:r w:rsidR="00DC06D3"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B59" w:rsidRDefault="00213B59">
      <w:r>
        <w:separator/>
      </w:r>
    </w:p>
  </w:footnote>
  <w:footnote w:type="continuationSeparator" w:id="0">
    <w:p w:rsidR="00213B59" w:rsidRDefault="00213B59">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6F03C2" w:rsidRPr="00886210">
        <w:rPr>
          <w:rFonts w:ascii="Calibri" w:hAnsi="Calibri"/>
          <w:i/>
          <w:lang w:val="el-GR"/>
        </w:rPr>
        <w:t>(Προκειμένου για έργα ΕΣΠΑ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F3F24"/>
    <w:rsid w:val="000F5126"/>
    <w:rsid w:val="00112F31"/>
    <w:rsid w:val="0011452F"/>
    <w:rsid w:val="00137364"/>
    <w:rsid w:val="001559AB"/>
    <w:rsid w:val="00156479"/>
    <w:rsid w:val="00161439"/>
    <w:rsid w:val="00162069"/>
    <w:rsid w:val="00172A5E"/>
    <w:rsid w:val="0017335A"/>
    <w:rsid w:val="00182AC9"/>
    <w:rsid w:val="00182F2C"/>
    <w:rsid w:val="001B3B0A"/>
    <w:rsid w:val="001C6287"/>
    <w:rsid w:val="001E5EE7"/>
    <w:rsid w:val="001F22A7"/>
    <w:rsid w:val="001F737D"/>
    <w:rsid w:val="00213B59"/>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B53E6"/>
    <w:rsid w:val="002D169B"/>
    <w:rsid w:val="002D626D"/>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A18B0"/>
    <w:rsid w:val="003C0BD6"/>
    <w:rsid w:val="003C7199"/>
    <w:rsid w:val="003E17A8"/>
    <w:rsid w:val="003F3D79"/>
    <w:rsid w:val="003F5F03"/>
    <w:rsid w:val="00414BAF"/>
    <w:rsid w:val="004214B5"/>
    <w:rsid w:val="004316BB"/>
    <w:rsid w:val="00436458"/>
    <w:rsid w:val="00457F1E"/>
    <w:rsid w:val="004620EB"/>
    <w:rsid w:val="004648DD"/>
    <w:rsid w:val="00465CE8"/>
    <w:rsid w:val="004733C8"/>
    <w:rsid w:val="00491826"/>
    <w:rsid w:val="004C0139"/>
    <w:rsid w:val="004C3B61"/>
    <w:rsid w:val="004D5C76"/>
    <w:rsid w:val="004E22DB"/>
    <w:rsid w:val="004E28AB"/>
    <w:rsid w:val="004E30A2"/>
    <w:rsid w:val="004E785A"/>
    <w:rsid w:val="004F7C73"/>
    <w:rsid w:val="00516E74"/>
    <w:rsid w:val="00516FED"/>
    <w:rsid w:val="00522AC1"/>
    <w:rsid w:val="00541D08"/>
    <w:rsid w:val="00556EC9"/>
    <w:rsid w:val="00560BB1"/>
    <w:rsid w:val="0057219F"/>
    <w:rsid w:val="00582CED"/>
    <w:rsid w:val="005917C5"/>
    <w:rsid w:val="005A267B"/>
    <w:rsid w:val="005B1257"/>
    <w:rsid w:val="005E696C"/>
    <w:rsid w:val="006168AA"/>
    <w:rsid w:val="00637743"/>
    <w:rsid w:val="00646B2E"/>
    <w:rsid w:val="00660B7B"/>
    <w:rsid w:val="00684B89"/>
    <w:rsid w:val="00687E9D"/>
    <w:rsid w:val="006A6BB1"/>
    <w:rsid w:val="006B2E09"/>
    <w:rsid w:val="006B78C9"/>
    <w:rsid w:val="006C1262"/>
    <w:rsid w:val="006C595C"/>
    <w:rsid w:val="006D1467"/>
    <w:rsid w:val="006F03C2"/>
    <w:rsid w:val="006F5599"/>
    <w:rsid w:val="0070173E"/>
    <w:rsid w:val="0070691A"/>
    <w:rsid w:val="00741226"/>
    <w:rsid w:val="00742C0A"/>
    <w:rsid w:val="00746092"/>
    <w:rsid w:val="00754155"/>
    <w:rsid w:val="00755924"/>
    <w:rsid w:val="00770AEE"/>
    <w:rsid w:val="00797BE6"/>
    <w:rsid w:val="007A7DD6"/>
    <w:rsid w:val="007C51B0"/>
    <w:rsid w:val="0080015F"/>
    <w:rsid w:val="008116BB"/>
    <w:rsid w:val="00814D11"/>
    <w:rsid w:val="008177D4"/>
    <w:rsid w:val="00845757"/>
    <w:rsid w:val="00860F11"/>
    <w:rsid w:val="00874210"/>
    <w:rsid w:val="008813A2"/>
    <w:rsid w:val="00881776"/>
    <w:rsid w:val="008839F2"/>
    <w:rsid w:val="00885BEB"/>
    <w:rsid w:val="00886210"/>
    <w:rsid w:val="00891C17"/>
    <w:rsid w:val="008B08F9"/>
    <w:rsid w:val="008B1AC2"/>
    <w:rsid w:val="008B306D"/>
    <w:rsid w:val="008B72AC"/>
    <w:rsid w:val="008B7E56"/>
    <w:rsid w:val="008C0DB7"/>
    <w:rsid w:val="008C3003"/>
    <w:rsid w:val="008C782F"/>
    <w:rsid w:val="008E5B67"/>
    <w:rsid w:val="009123FD"/>
    <w:rsid w:val="009374B5"/>
    <w:rsid w:val="00943597"/>
    <w:rsid w:val="00946699"/>
    <w:rsid w:val="00997E68"/>
    <w:rsid w:val="009A15C4"/>
    <w:rsid w:val="009A2464"/>
    <w:rsid w:val="009B2752"/>
    <w:rsid w:val="009C2536"/>
    <w:rsid w:val="009E4C40"/>
    <w:rsid w:val="009F1739"/>
    <w:rsid w:val="009F2FAC"/>
    <w:rsid w:val="009F6555"/>
    <w:rsid w:val="00A206B9"/>
    <w:rsid w:val="00A25964"/>
    <w:rsid w:val="00A311F9"/>
    <w:rsid w:val="00A41487"/>
    <w:rsid w:val="00A41CEB"/>
    <w:rsid w:val="00A543B4"/>
    <w:rsid w:val="00A631B7"/>
    <w:rsid w:val="00A878A6"/>
    <w:rsid w:val="00A903BC"/>
    <w:rsid w:val="00AA0FE1"/>
    <w:rsid w:val="00AD2003"/>
    <w:rsid w:val="00B27C6D"/>
    <w:rsid w:val="00B37556"/>
    <w:rsid w:val="00B53C26"/>
    <w:rsid w:val="00B5742F"/>
    <w:rsid w:val="00B659D2"/>
    <w:rsid w:val="00B73529"/>
    <w:rsid w:val="00BA1FA7"/>
    <w:rsid w:val="00BA37D3"/>
    <w:rsid w:val="00BA669C"/>
    <w:rsid w:val="00BA6E3E"/>
    <w:rsid w:val="00BB68DB"/>
    <w:rsid w:val="00BC2A8C"/>
    <w:rsid w:val="00BD33ED"/>
    <w:rsid w:val="00BD457B"/>
    <w:rsid w:val="00BE0008"/>
    <w:rsid w:val="00BE1D0B"/>
    <w:rsid w:val="00C00AC3"/>
    <w:rsid w:val="00C0741F"/>
    <w:rsid w:val="00C46A25"/>
    <w:rsid w:val="00C65ED0"/>
    <w:rsid w:val="00C75A89"/>
    <w:rsid w:val="00CA187E"/>
    <w:rsid w:val="00CB2D7A"/>
    <w:rsid w:val="00CE4D3D"/>
    <w:rsid w:val="00CF06DC"/>
    <w:rsid w:val="00CF442A"/>
    <w:rsid w:val="00D06C42"/>
    <w:rsid w:val="00D07882"/>
    <w:rsid w:val="00D16D8C"/>
    <w:rsid w:val="00D26A35"/>
    <w:rsid w:val="00D46106"/>
    <w:rsid w:val="00D47095"/>
    <w:rsid w:val="00D47A6F"/>
    <w:rsid w:val="00D63B84"/>
    <w:rsid w:val="00D75877"/>
    <w:rsid w:val="00D805D0"/>
    <w:rsid w:val="00D8278A"/>
    <w:rsid w:val="00D84740"/>
    <w:rsid w:val="00DA0467"/>
    <w:rsid w:val="00DA65D3"/>
    <w:rsid w:val="00DC06D3"/>
    <w:rsid w:val="00DC4757"/>
    <w:rsid w:val="00DC5CDF"/>
    <w:rsid w:val="00DE624B"/>
    <w:rsid w:val="00DF7C26"/>
    <w:rsid w:val="00DF7DBB"/>
    <w:rsid w:val="00E12D06"/>
    <w:rsid w:val="00E14736"/>
    <w:rsid w:val="00E16B23"/>
    <w:rsid w:val="00E31B76"/>
    <w:rsid w:val="00E3522F"/>
    <w:rsid w:val="00E50834"/>
    <w:rsid w:val="00E570C1"/>
    <w:rsid w:val="00E74843"/>
    <w:rsid w:val="00E8133A"/>
    <w:rsid w:val="00E86B16"/>
    <w:rsid w:val="00E91F02"/>
    <w:rsid w:val="00E977C1"/>
    <w:rsid w:val="00EA205F"/>
    <w:rsid w:val="00EA4FEE"/>
    <w:rsid w:val="00EB29BD"/>
    <w:rsid w:val="00EB4785"/>
    <w:rsid w:val="00EC6523"/>
    <w:rsid w:val="00EC71F8"/>
    <w:rsid w:val="00EE18D1"/>
    <w:rsid w:val="00F00926"/>
    <w:rsid w:val="00F06BAF"/>
    <w:rsid w:val="00F35A8F"/>
    <w:rsid w:val="00F3625E"/>
    <w:rsid w:val="00F3718B"/>
    <w:rsid w:val="00F41CD8"/>
    <w:rsid w:val="00F6008D"/>
    <w:rsid w:val="00F61A35"/>
    <w:rsid w:val="00F95067"/>
    <w:rsid w:val="00FA2CAC"/>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08F9"/>
    <w:rPr>
      <w:rFonts w:ascii="Arial" w:hAnsi="Arial"/>
      <w:sz w:val="24"/>
      <w:lang w:val="en-GB"/>
    </w:rPr>
  </w:style>
  <w:style w:type="paragraph" w:styleId="1">
    <w:name w:val="heading 1"/>
    <w:basedOn w:val="a"/>
    <w:next w:val="a"/>
    <w:qFormat/>
    <w:rsid w:val="008B08F9"/>
    <w:pPr>
      <w:keepNext/>
      <w:ind w:left="-142" w:right="-1275"/>
      <w:jc w:val="both"/>
      <w:outlineLvl w:val="0"/>
    </w:pPr>
    <w:rPr>
      <w:b/>
      <w:lang w:val="el-GR"/>
    </w:rPr>
  </w:style>
  <w:style w:type="paragraph" w:styleId="2">
    <w:name w:val="heading 2"/>
    <w:basedOn w:val="a"/>
    <w:next w:val="a"/>
    <w:qFormat/>
    <w:rsid w:val="008B08F9"/>
    <w:pPr>
      <w:keepNext/>
      <w:jc w:val="center"/>
      <w:outlineLvl w:val="1"/>
    </w:pPr>
    <w:rPr>
      <w:b/>
      <w:sz w:val="26"/>
      <w:u w:val="single"/>
      <w:lang w:val="el-GR"/>
    </w:rPr>
  </w:style>
  <w:style w:type="paragraph" w:styleId="3">
    <w:name w:val="heading 3"/>
    <w:basedOn w:val="a"/>
    <w:next w:val="a"/>
    <w:qFormat/>
    <w:rsid w:val="008B08F9"/>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08F9"/>
    <w:pPr>
      <w:ind w:left="284"/>
      <w:jc w:val="both"/>
    </w:pPr>
    <w:rPr>
      <w:lang w:val="el-GR"/>
    </w:rPr>
  </w:style>
  <w:style w:type="paragraph" w:styleId="a4">
    <w:name w:val="header"/>
    <w:basedOn w:val="a"/>
    <w:rsid w:val="008B08F9"/>
    <w:pPr>
      <w:tabs>
        <w:tab w:val="center" w:pos="4153"/>
        <w:tab w:val="right" w:pos="8306"/>
      </w:tabs>
    </w:pPr>
  </w:style>
  <w:style w:type="paragraph" w:styleId="a5">
    <w:name w:val="footer"/>
    <w:basedOn w:val="a"/>
    <w:link w:val="Char"/>
    <w:uiPriority w:val="99"/>
    <w:rsid w:val="008B08F9"/>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6497</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2020-05-15T08:39:00Z</cp:lastPrinted>
  <dcterms:created xsi:type="dcterms:W3CDTF">2024-02-08T14:26:00Z</dcterms:created>
  <dcterms:modified xsi:type="dcterms:W3CDTF">2025-01-09T08:06:00Z</dcterms:modified>
</cp:coreProperties>
</file>