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47"/>
        <w:tblW w:w="10206" w:type="dxa"/>
        <w:tblBorders>
          <w:top w:val="single" w:sz="12" w:space="0" w:color="auto"/>
          <w:left w:val="single" w:sz="12" w:space="0" w:color="auto"/>
          <w:bottom w:val="single" w:sz="12" w:space="0" w:color="auto"/>
          <w:right w:val="single" w:sz="12" w:space="0" w:color="auto"/>
        </w:tblBorders>
        <w:tblLayout w:type="fixed"/>
        <w:tblLook w:val="0000"/>
      </w:tblPr>
      <w:tblGrid>
        <w:gridCol w:w="1548"/>
        <w:gridCol w:w="8658"/>
      </w:tblGrid>
      <w:tr w:rsidR="00035BDD" w:rsidRPr="00B71DD6" w:rsidTr="005D189B">
        <w:trPr>
          <w:trHeight w:hRule="exact" w:val="2017"/>
        </w:trPr>
        <w:tc>
          <w:tcPr>
            <w:tcW w:w="1548" w:type="dxa"/>
          </w:tcPr>
          <w:p w:rsidR="00035BDD" w:rsidRPr="00D71492" w:rsidRDefault="00035BDD" w:rsidP="005D189B">
            <w:pPr>
              <w:spacing w:before="120"/>
              <w:ind w:left="-64" w:right="-108"/>
              <w:jc w:val="center"/>
              <w:rPr>
                <w:b/>
                <w:sz w:val="20"/>
              </w:rPr>
            </w:pPr>
            <w:r>
              <w:rPr>
                <w:b/>
                <w:noProof/>
                <w:position w:val="14"/>
                <w:sz w:val="4"/>
                <w:lang w:eastAsia="el-GR"/>
              </w:rPr>
              <w:drawing>
                <wp:inline distT="0" distB="0" distL="0" distR="0">
                  <wp:extent cx="792480" cy="8153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4999" r="14999" b="6000"/>
                          <a:stretch>
                            <a:fillRect/>
                          </a:stretch>
                        </pic:blipFill>
                        <pic:spPr bwMode="auto">
                          <a:xfrm>
                            <a:off x="0" y="0"/>
                            <a:ext cx="792480" cy="815340"/>
                          </a:xfrm>
                          <a:prstGeom prst="rect">
                            <a:avLst/>
                          </a:prstGeom>
                          <a:noFill/>
                          <a:ln w="9525">
                            <a:noFill/>
                            <a:miter lim="800000"/>
                            <a:headEnd/>
                            <a:tailEnd/>
                          </a:ln>
                        </pic:spPr>
                      </pic:pic>
                    </a:graphicData>
                  </a:graphic>
                </wp:inline>
              </w:drawing>
            </w:r>
          </w:p>
        </w:tc>
        <w:tc>
          <w:tcPr>
            <w:tcW w:w="8658" w:type="dxa"/>
          </w:tcPr>
          <w:p w:rsidR="00035BDD" w:rsidRDefault="00035BDD" w:rsidP="005D189B">
            <w:pPr>
              <w:pStyle w:val="BodyText"/>
              <w:spacing w:after="0" w:line="240" w:lineRule="auto"/>
              <w:jc w:val="center"/>
              <w:rPr>
                <w:b/>
                <w:spacing w:val="20"/>
                <w:lang w:val="el-GR" w:eastAsia="el-GR"/>
              </w:rPr>
            </w:pPr>
            <w:r>
              <w:rPr>
                <w:b/>
                <w:spacing w:val="20"/>
                <w:sz w:val="28"/>
                <w:lang w:val="el-GR" w:eastAsia="el-GR"/>
              </w:rPr>
              <w:t>ΕΘΝΙΚΟ ΜΕΤΣΟΒΙΟ ΠΟΛΥΤΕΧΝΕΙΟ</w:t>
            </w:r>
          </w:p>
          <w:p w:rsidR="00035BDD" w:rsidRDefault="00035BDD" w:rsidP="005D189B">
            <w:pPr>
              <w:pStyle w:val="BodyText"/>
              <w:spacing w:after="0" w:line="240" w:lineRule="auto"/>
              <w:jc w:val="center"/>
              <w:rPr>
                <w:rFonts w:ascii="Century Gothic" w:hAnsi="Century Gothic"/>
                <w:b/>
                <w:color w:val="000080"/>
                <w:sz w:val="22"/>
                <w:lang w:val="el-GR" w:eastAsia="el-GR"/>
              </w:rPr>
            </w:pPr>
            <w:r w:rsidRPr="0074375C">
              <w:rPr>
                <w:rFonts w:ascii="Century Gothic" w:hAnsi="Century Gothic"/>
                <w:b/>
                <w:color w:val="000080"/>
                <w:spacing w:val="60"/>
                <w:sz w:val="22"/>
                <w:lang w:val="el-GR" w:eastAsia="el-GR"/>
              </w:rPr>
              <w:t xml:space="preserve">ΕΙΔΙΚΟΣ ΛΟΓΑΡΙΑΣΜΟΣ ΚΟΝΔΥΛΙΩΝ ΕΡΕΥΝΑΣ </w:t>
            </w:r>
            <w:r w:rsidRPr="0074375C">
              <w:rPr>
                <w:rFonts w:ascii="Century Gothic" w:hAnsi="Century Gothic"/>
                <w:b/>
                <w:color w:val="000080"/>
                <w:sz w:val="22"/>
                <w:lang w:val="el-GR" w:eastAsia="el-GR"/>
              </w:rPr>
              <w:t>(Ε.Λ.Κ.Ε.)</w:t>
            </w:r>
          </w:p>
          <w:p w:rsidR="00035BDD" w:rsidRDefault="00035BDD" w:rsidP="005D189B">
            <w:pPr>
              <w:pStyle w:val="BodyText"/>
              <w:spacing w:after="0" w:line="240" w:lineRule="auto"/>
              <w:ind w:left="-108"/>
              <w:jc w:val="center"/>
              <w:rPr>
                <w:rFonts w:ascii="Century Gothic" w:hAnsi="Century Gothic"/>
                <w:b/>
                <w:color w:val="000080"/>
                <w:spacing w:val="80"/>
                <w:sz w:val="22"/>
                <w:lang w:val="el-GR" w:eastAsia="el-GR"/>
              </w:rPr>
            </w:pPr>
            <w:r w:rsidRPr="00D811B9">
              <w:rPr>
                <w:rFonts w:ascii="Century Gothic" w:hAnsi="Century Gothic"/>
                <w:b/>
                <w:color w:val="000080"/>
                <w:spacing w:val="30"/>
                <w:sz w:val="22"/>
                <w:lang w:val="el-GR" w:eastAsia="el-GR"/>
              </w:rPr>
              <w:t>Μονάδα Οικονομικής και Διοικητικής Υποστήριξης</w:t>
            </w:r>
            <w:r>
              <w:rPr>
                <w:rFonts w:ascii="Century Gothic" w:hAnsi="Century Gothic"/>
                <w:b/>
                <w:color w:val="000080"/>
                <w:sz w:val="22"/>
                <w:lang w:val="el-GR" w:eastAsia="el-GR"/>
              </w:rPr>
              <w:t xml:space="preserve"> (Μ.Ο.Δ.Υ.)</w:t>
            </w:r>
          </w:p>
          <w:p w:rsidR="00035BDD" w:rsidRPr="00D71492" w:rsidRDefault="00035BDD" w:rsidP="005D189B">
            <w:pPr>
              <w:spacing w:before="120"/>
              <w:ind w:left="-130"/>
              <w:jc w:val="center"/>
              <w:rPr>
                <w:rFonts w:ascii="Century Gothic" w:hAnsi="Century Gothic" w:cs="Tahoma"/>
                <w:sz w:val="18"/>
              </w:rPr>
            </w:pPr>
            <w:r w:rsidRPr="00D71492">
              <w:rPr>
                <w:rFonts w:ascii="Century Gothic" w:hAnsi="Century Gothic" w:cs="Tahoma"/>
                <w:sz w:val="18"/>
              </w:rPr>
              <w:t xml:space="preserve">Ηρώων Πολυτεχνείου 9, </w:t>
            </w:r>
            <w:proofErr w:type="spellStart"/>
            <w:r w:rsidRPr="00D71492">
              <w:rPr>
                <w:rFonts w:ascii="Century Gothic" w:hAnsi="Century Gothic" w:cs="Tahoma"/>
                <w:sz w:val="18"/>
              </w:rPr>
              <w:t>Πολυτεχνειούπολη</w:t>
            </w:r>
            <w:proofErr w:type="spellEnd"/>
            <w:r w:rsidRPr="00D71492">
              <w:rPr>
                <w:rFonts w:ascii="Century Gothic" w:hAnsi="Century Gothic" w:cs="Tahoma"/>
                <w:sz w:val="18"/>
              </w:rPr>
              <w:t xml:space="preserve"> Ζωγράφου, 157 80  Αθήνα.  </w:t>
            </w:r>
          </w:p>
          <w:p w:rsidR="00035BDD" w:rsidRPr="00D71492" w:rsidRDefault="00035BDD" w:rsidP="005D189B">
            <w:pPr>
              <w:spacing w:before="120"/>
              <w:ind w:left="-130"/>
              <w:jc w:val="center"/>
              <w:rPr>
                <w:rFonts w:ascii="Tahoma" w:hAnsi="Tahoma" w:cs="Tahoma"/>
                <w:b/>
                <w:sz w:val="18"/>
                <w:lang w:val="en-US"/>
              </w:rPr>
            </w:pPr>
            <w:r w:rsidRPr="00D71492">
              <w:rPr>
                <w:rFonts w:ascii="Century Gothic" w:hAnsi="Century Gothic" w:cs="Tahoma"/>
                <w:sz w:val="18"/>
              </w:rPr>
              <w:sym w:font="Wingdings" w:char="F028"/>
            </w:r>
            <w:r w:rsidRPr="00D71492">
              <w:rPr>
                <w:rFonts w:ascii="Century Gothic" w:hAnsi="Century Gothic" w:cs="Tahoma"/>
                <w:sz w:val="18"/>
                <w:lang w:val="en-US"/>
              </w:rPr>
              <w:t xml:space="preserve"> 210-772 1348, e-mail: ereyna@central.ntua.gr</w:t>
            </w:r>
          </w:p>
        </w:tc>
      </w:tr>
    </w:tbl>
    <w:p w:rsidR="00035BDD" w:rsidRPr="002F09E9" w:rsidRDefault="00035BDD" w:rsidP="00035BDD">
      <w:pPr>
        <w:spacing w:before="240"/>
        <w:jc w:val="center"/>
        <w:rPr>
          <w:rFonts w:cs="Calibri"/>
          <w:sz w:val="24"/>
          <w:szCs w:val="24"/>
        </w:rPr>
      </w:pPr>
      <w:r>
        <w:rPr>
          <w:rFonts w:cs="Calibri"/>
          <w:b/>
          <w:bCs/>
          <w:color w:val="000000"/>
          <w:sz w:val="24"/>
          <w:szCs w:val="24"/>
        </w:rPr>
        <w:t>0</w:t>
      </w:r>
      <w:r w:rsidR="00B71DD6">
        <w:rPr>
          <w:rFonts w:cs="Calibri"/>
          <w:b/>
          <w:bCs/>
          <w:color w:val="000000"/>
          <w:sz w:val="24"/>
          <w:szCs w:val="24"/>
        </w:rPr>
        <w:t>7</w:t>
      </w:r>
      <w:r w:rsidRPr="002F09E9">
        <w:rPr>
          <w:rFonts w:cs="Calibri"/>
          <w:b/>
          <w:bCs/>
          <w:color w:val="000000"/>
          <w:sz w:val="24"/>
          <w:szCs w:val="24"/>
        </w:rPr>
        <w:t>/</w:t>
      </w:r>
      <w:r>
        <w:rPr>
          <w:rFonts w:cs="Calibri"/>
          <w:b/>
          <w:bCs/>
          <w:color w:val="000000"/>
          <w:sz w:val="24"/>
          <w:szCs w:val="24"/>
        </w:rPr>
        <w:t>10</w:t>
      </w:r>
      <w:r w:rsidRPr="002F09E9">
        <w:rPr>
          <w:rFonts w:cs="Calibri"/>
          <w:b/>
          <w:bCs/>
          <w:color w:val="000000"/>
          <w:sz w:val="24"/>
          <w:szCs w:val="24"/>
        </w:rPr>
        <w:t>/202</w:t>
      </w:r>
      <w:r>
        <w:rPr>
          <w:rFonts w:cs="Calibri"/>
          <w:b/>
          <w:bCs/>
          <w:color w:val="000000"/>
          <w:sz w:val="24"/>
          <w:szCs w:val="24"/>
        </w:rPr>
        <w:t>2</w:t>
      </w:r>
    </w:p>
    <w:p w:rsidR="00035BDD" w:rsidRPr="002F09E9" w:rsidRDefault="00035BDD" w:rsidP="00035BDD">
      <w:pPr>
        <w:spacing w:before="240"/>
        <w:jc w:val="center"/>
        <w:rPr>
          <w:rFonts w:cs="Calibri"/>
          <w:b/>
          <w:bCs/>
          <w:sz w:val="24"/>
          <w:szCs w:val="24"/>
          <w:u w:val="single"/>
        </w:rPr>
      </w:pPr>
      <w:r w:rsidRPr="002F09E9">
        <w:rPr>
          <w:rFonts w:cs="Calibri"/>
          <w:b/>
          <w:bCs/>
          <w:sz w:val="24"/>
          <w:szCs w:val="24"/>
          <w:u w:val="single"/>
        </w:rPr>
        <w:t>ΑΝΑΚΟΙΝΩΣΗ ΕΠΙΤΡΟΠΗΣ ΕΡΕΥΝΩΝ ΚΑΙ ΔΙΑΧΕΙΡΙΣΗΣ ΕΙΔΙΚΟΥ ΛΟΓΑΡΙΑΣΜΟΥ:</w:t>
      </w:r>
    </w:p>
    <w:p w:rsidR="00035BDD" w:rsidRPr="00F75036" w:rsidRDefault="00035BDD" w:rsidP="00120AC4">
      <w:pPr>
        <w:spacing w:before="240" w:after="600"/>
        <w:jc w:val="center"/>
        <w:rPr>
          <w:rFonts w:cs="Calibri"/>
          <w:b/>
          <w:bCs/>
          <w:sz w:val="24"/>
          <w:szCs w:val="24"/>
        </w:rPr>
      </w:pPr>
      <w:r>
        <w:rPr>
          <w:rFonts w:cs="Calibri"/>
          <w:b/>
          <w:bCs/>
          <w:sz w:val="24"/>
          <w:szCs w:val="24"/>
        </w:rPr>
        <w:t xml:space="preserve">Κυριότερες αλλαγές μετά την ψήφιση του </w:t>
      </w:r>
      <w:r w:rsidRPr="00035BDD">
        <w:rPr>
          <w:rFonts w:cs="Calibri"/>
          <w:b/>
          <w:bCs/>
          <w:sz w:val="24"/>
          <w:szCs w:val="24"/>
        </w:rPr>
        <w:t>Ν. 4957/2022 (ΦΕΚ Α 141/21.7.2022)</w:t>
      </w:r>
    </w:p>
    <w:p w:rsidR="00537C21" w:rsidRPr="00035BDD" w:rsidRDefault="00537C21" w:rsidP="00F003D7">
      <w:pPr>
        <w:spacing w:line="360" w:lineRule="auto"/>
        <w:ind w:left="-284"/>
        <w:jc w:val="both"/>
        <w:rPr>
          <w:rFonts w:cstheme="minorHAnsi"/>
          <w:sz w:val="24"/>
          <w:szCs w:val="24"/>
        </w:rPr>
      </w:pPr>
      <w:r w:rsidRPr="00035BDD">
        <w:rPr>
          <w:rFonts w:cstheme="minorHAnsi"/>
          <w:sz w:val="24"/>
          <w:szCs w:val="24"/>
        </w:rPr>
        <w:t xml:space="preserve">H Επιτροπή Ερευνών και Διαχείρισης Ειδικού Λογαριασμού ενημερώνει τους Επιστημονικούς Υπευθύνους για τις </w:t>
      </w:r>
      <w:r w:rsidRPr="00035BDD">
        <w:rPr>
          <w:rFonts w:cstheme="minorHAnsi"/>
          <w:b/>
          <w:sz w:val="24"/>
          <w:szCs w:val="24"/>
        </w:rPr>
        <w:t>κυριότερες αλλαγές</w:t>
      </w:r>
      <w:r w:rsidRPr="00035BDD">
        <w:rPr>
          <w:rFonts w:cstheme="minorHAnsi"/>
          <w:sz w:val="24"/>
          <w:szCs w:val="24"/>
        </w:rPr>
        <w:t xml:space="preserve"> που επήλθαν στη διαχείριση των έργων/προγραμμάτων μετά την ψήφιση του Ν. 4957/2022 (</w:t>
      </w:r>
      <w:r w:rsidRPr="00035BDD">
        <w:rPr>
          <w:rFonts w:cstheme="minorHAnsi"/>
          <w:bCs/>
          <w:sz w:val="24"/>
          <w:szCs w:val="24"/>
        </w:rPr>
        <w:t>ΦΕΚ Α 141/21.7.2022) «</w:t>
      </w:r>
      <w:r w:rsidRPr="00035BDD">
        <w:rPr>
          <w:rFonts w:cstheme="minorHAnsi"/>
          <w:sz w:val="24"/>
          <w:szCs w:val="24"/>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rsidR="00537C21" w:rsidRPr="00120AC4" w:rsidRDefault="00537C21" w:rsidP="00120AC4">
      <w:pPr>
        <w:spacing w:line="360" w:lineRule="auto"/>
        <w:ind w:left="-284"/>
        <w:rPr>
          <w:rFonts w:cstheme="minorHAnsi"/>
          <w:b/>
          <w:sz w:val="24"/>
          <w:szCs w:val="24"/>
          <w:u w:val="single"/>
        </w:rPr>
      </w:pPr>
      <w:r w:rsidRPr="00120AC4">
        <w:rPr>
          <w:rFonts w:cstheme="minorHAnsi"/>
          <w:b/>
          <w:sz w:val="24"/>
          <w:szCs w:val="24"/>
          <w:u w:val="single"/>
        </w:rPr>
        <w:t xml:space="preserve">Α. </w:t>
      </w:r>
      <w:r w:rsidR="00035BDD" w:rsidRPr="00120AC4">
        <w:rPr>
          <w:rFonts w:cstheme="minorHAnsi"/>
          <w:b/>
          <w:sz w:val="24"/>
          <w:szCs w:val="24"/>
          <w:u w:val="single"/>
        </w:rPr>
        <w:t>ΠΡΟΜΗΘΕΙΕΣ</w:t>
      </w:r>
      <w:r w:rsidRPr="00120AC4">
        <w:rPr>
          <w:rFonts w:cstheme="minorHAnsi"/>
          <w:b/>
          <w:sz w:val="24"/>
          <w:szCs w:val="24"/>
          <w:u w:val="single"/>
        </w:rPr>
        <w:t xml:space="preserve"> </w:t>
      </w:r>
    </w:p>
    <w:p w:rsidR="00537C21" w:rsidRPr="00035BDD" w:rsidRDefault="00537C21" w:rsidP="00F003D7">
      <w:pPr>
        <w:pStyle w:val="ListParagraph"/>
        <w:tabs>
          <w:tab w:val="left" w:pos="0"/>
        </w:tabs>
        <w:spacing w:line="360" w:lineRule="auto"/>
        <w:ind w:left="-284"/>
        <w:contextualSpacing w:val="0"/>
        <w:jc w:val="both"/>
        <w:rPr>
          <w:rFonts w:cstheme="minorHAnsi"/>
          <w:sz w:val="24"/>
          <w:szCs w:val="24"/>
        </w:rPr>
      </w:pPr>
      <w:r w:rsidRPr="00035BDD">
        <w:rPr>
          <w:rFonts w:cstheme="minorHAnsi"/>
          <w:sz w:val="24"/>
          <w:szCs w:val="24"/>
        </w:rPr>
        <w:t xml:space="preserve">Για τις δαπάνες που εκτελούνται μέσω της διαδικασίας της απευθείας ανάθεσης (καθαρή αξία έως 30.000,00€) στο πλαίσιο έργων/προγραμμάτων δεν απαιτείται η ανάρτηση προσκλήσεων για την υποβολή οικονομικών προσφορών στο Κ.Η.Μ.ΔΗ.Σ.. </w:t>
      </w:r>
    </w:p>
    <w:p w:rsidR="00035BDD" w:rsidRPr="00120AC4" w:rsidRDefault="00035BDD" w:rsidP="00F9246F">
      <w:pPr>
        <w:pStyle w:val="ListParagraph"/>
        <w:tabs>
          <w:tab w:val="left" w:pos="284"/>
        </w:tabs>
        <w:spacing w:before="120" w:after="120" w:line="360" w:lineRule="auto"/>
        <w:ind w:left="-284"/>
        <w:contextualSpacing w:val="0"/>
        <w:jc w:val="both"/>
        <w:rPr>
          <w:rFonts w:cstheme="minorHAnsi"/>
          <w:sz w:val="24"/>
          <w:szCs w:val="24"/>
          <w:u w:val="single"/>
        </w:rPr>
      </w:pPr>
      <w:r w:rsidRPr="00120AC4">
        <w:rPr>
          <w:rFonts w:cstheme="minorHAnsi"/>
          <w:sz w:val="24"/>
          <w:szCs w:val="24"/>
          <w:u w:val="single"/>
        </w:rPr>
        <w:t>ΠΡΟΜΗΘΕΙΕΣ ΕΩΣ 10.000,00€</w:t>
      </w:r>
    </w:p>
    <w:p w:rsidR="00035BDD" w:rsidRPr="00035BDD" w:rsidRDefault="00035BDD" w:rsidP="00035BDD">
      <w:pPr>
        <w:pStyle w:val="ListParagraph"/>
        <w:tabs>
          <w:tab w:val="left" w:pos="284"/>
        </w:tabs>
        <w:spacing w:line="360" w:lineRule="auto"/>
        <w:ind w:left="-284"/>
        <w:contextualSpacing w:val="0"/>
        <w:jc w:val="both"/>
        <w:rPr>
          <w:rFonts w:cstheme="minorHAnsi"/>
          <w:sz w:val="24"/>
          <w:szCs w:val="24"/>
        </w:rPr>
      </w:pPr>
      <w:r w:rsidRPr="00035BDD">
        <w:rPr>
          <w:rFonts w:cstheme="minorHAnsi"/>
          <w:sz w:val="24"/>
          <w:szCs w:val="24"/>
        </w:rPr>
        <w:t>Για δαπάνες έως 10.000,00€ καθαρή αξία, ο Επιστημονικός Υπεύθυνος δύναται να προσκομίζει και μία (1) μόνο οικονομική προσφορά.</w:t>
      </w:r>
    </w:p>
    <w:p w:rsidR="00035BDD" w:rsidRPr="00120AC4" w:rsidRDefault="00035BDD" w:rsidP="00F9246F">
      <w:pPr>
        <w:pStyle w:val="ListParagraph"/>
        <w:tabs>
          <w:tab w:val="left" w:pos="284"/>
        </w:tabs>
        <w:spacing w:before="120" w:after="120" w:line="360" w:lineRule="auto"/>
        <w:ind w:left="-284"/>
        <w:contextualSpacing w:val="0"/>
        <w:jc w:val="both"/>
        <w:rPr>
          <w:rFonts w:cstheme="minorHAnsi"/>
          <w:sz w:val="24"/>
          <w:szCs w:val="24"/>
          <w:u w:val="single"/>
        </w:rPr>
      </w:pPr>
      <w:r w:rsidRPr="00120AC4">
        <w:rPr>
          <w:rFonts w:cstheme="minorHAnsi"/>
          <w:sz w:val="24"/>
          <w:szCs w:val="24"/>
          <w:u w:val="single"/>
        </w:rPr>
        <w:t>ΠΡΟΜΗΘΕΙΕΣ ΑΠΟ  10.000,01€ ΕΩΣ 30.000,00€</w:t>
      </w:r>
    </w:p>
    <w:p w:rsidR="00537C21" w:rsidRPr="00035BDD" w:rsidRDefault="00F003D7" w:rsidP="00F9246F">
      <w:pPr>
        <w:pStyle w:val="ListParagraph"/>
        <w:tabs>
          <w:tab w:val="left" w:pos="142"/>
        </w:tabs>
        <w:spacing w:line="360" w:lineRule="auto"/>
        <w:ind w:left="-284"/>
        <w:jc w:val="both"/>
        <w:rPr>
          <w:rFonts w:cstheme="minorHAnsi"/>
          <w:sz w:val="24"/>
          <w:szCs w:val="24"/>
        </w:rPr>
      </w:pPr>
      <w:r w:rsidRPr="00035BDD">
        <w:rPr>
          <w:rFonts w:cstheme="minorHAnsi"/>
          <w:sz w:val="24"/>
          <w:szCs w:val="24"/>
        </w:rPr>
        <w:t xml:space="preserve"> </w:t>
      </w:r>
      <w:r w:rsidR="00035BDD" w:rsidRPr="00035BDD">
        <w:rPr>
          <w:rFonts w:cstheme="minorHAnsi"/>
          <w:sz w:val="24"/>
          <w:szCs w:val="24"/>
        </w:rPr>
        <w:t xml:space="preserve">Για δαπάνες από 10.000,01€ έως 30.000,00€ καθαρή αξία </w:t>
      </w:r>
      <w:r w:rsidR="00537C21" w:rsidRPr="00035BDD">
        <w:rPr>
          <w:rFonts w:cstheme="minorHAnsi"/>
          <w:sz w:val="24"/>
          <w:szCs w:val="24"/>
        </w:rPr>
        <w:t>απαιτείται η προσ</w:t>
      </w:r>
      <w:r w:rsidR="00035BDD" w:rsidRPr="00035BDD">
        <w:rPr>
          <w:rFonts w:cstheme="minorHAnsi"/>
          <w:sz w:val="24"/>
          <w:szCs w:val="24"/>
        </w:rPr>
        <w:t>κόμιση απόδειξης έρευνας αγοράς.</w:t>
      </w:r>
      <w:r w:rsidR="00537C21" w:rsidRPr="00035BDD">
        <w:rPr>
          <w:rFonts w:cstheme="minorHAnsi"/>
          <w:sz w:val="24"/>
          <w:szCs w:val="24"/>
        </w:rPr>
        <w:t xml:space="preserve"> Ως απόδειξη έρευνας αγοράς νοείται η προσκόμιση τουλάχιστον δύο (2) οικονομικών προσφορών από τον Επιστημονικό Υπεύθυνο προς τη Μονάδα Οικονομικής και Διοικητικής Διαχείρισης (Μ.Ο.Δ.Υ.) του Ειδικού Λογαριασμού Κονδυλίων Έρευνας (Ε.Λ.Κ.Ε.). </w:t>
      </w:r>
    </w:p>
    <w:p w:rsidR="00537C21" w:rsidRPr="00035BDD" w:rsidRDefault="00537C21" w:rsidP="00F003D7">
      <w:pPr>
        <w:pStyle w:val="ListParagraph"/>
        <w:tabs>
          <w:tab w:val="left" w:pos="284"/>
        </w:tabs>
        <w:spacing w:line="360" w:lineRule="auto"/>
        <w:ind w:left="-284"/>
        <w:jc w:val="both"/>
        <w:rPr>
          <w:rFonts w:cstheme="minorHAnsi"/>
          <w:sz w:val="24"/>
          <w:szCs w:val="24"/>
        </w:rPr>
      </w:pPr>
    </w:p>
    <w:p w:rsidR="00537C21" w:rsidRDefault="00537C21" w:rsidP="00F003D7">
      <w:pPr>
        <w:pStyle w:val="ListParagraph"/>
        <w:tabs>
          <w:tab w:val="left" w:pos="284"/>
        </w:tabs>
        <w:spacing w:line="360" w:lineRule="auto"/>
        <w:ind w:left="-284"/>
        <w:jc w:val="both"/>
        <w:rPr>
          <w:rFonts w:cstheme="minorHAnsi"/>
          <w:sz w:val="24"/>
          <w:szCs w:val="24"/>
        </w:rPr>
      </w:pPr>
      <w:r w:rsidRPr="00035BDD">
        <w:rPr>
          <w:rFonts w:cstheme="minorHAnsi"/>
          <w:sz w:val="24"/>
          <w:szCs w:val="24"/>
        </w:rPr>
        <w:t>Ως οικονομική προσφορά λαμβάνεται υπόψη η προσφορά προϊόντος ή υπηρεσίας και από το ηλεκτρονικό κατάστημα του οικονομικού φορέα, από την οποία προκύπτουν κατ’ ελάχιστον η τιμή και τα απαιτούμενα τεχνικά χαρακτηριστικά του προϊόντος.</w:t>
      </w:r>
    </w:p>
    <w:p w:rsidR="00120AC4" w:rsidRDefault="00120AC4">
      <w:pPr>
        <w:rPr>
          <w:rFonts w:cstheme="minorHAnsi"/>
          <w:sz w:val="24"/>
          <w:szCs w:val="24"/>
        </w:rPr>
      </w:pPr>
      <w:r>
        <w:rPr>
          <w:rFonts w:cstheme="minorHAnsi"/>
          <w:sz w:val="24"/>
          <w:szCs w:val="24"/>
        </w:rPr>
        <w:br w:type="page"/>
      </w:r>
    </w:p>
    <w:p w:rsidR="00035BDD" w:rsidRPr="00120AC4" w:rsidRDefault="00035BDD" w:rsidP="00F003D7">
      <w:pPr>
        <w:tabs>
          <w:tab w:val="left" w:pos="284"/>
        </w:tabs>
        <w:spacing w:line="360" w:lineRule="auto"/>
        <w:ind w:left="-284"/>
        <w:jc w:val="both"/>
        <w:rPr>
          <w:rFonts w:cstheme="minorHAnsi"/>
          <w:sz w:val="24"/>
          <w:szCs w:val="24"/>
          <w:u w:val="single"/>
        </w:rPr>
      </w:pPr>
      <w:r w:rsidRPr="00120AC4">
        <w:rPr>
          <w:rFonts w:cstheme="minorHAnsi"/>
          <w:sz w:val="24"/>
          <w:szCs w:val="24"/>
          <w:u w:val="single"/>
        </w:rPr>
        <w:lastRenderedPageBreak/>
        <w:t xml:space="preserve">ΦΟΡΟΛΟΓΙΚΗ, ΑΣΦΑΛΙΣΤΙΚΗ ΕΝΗΜΕΡΟΤΗΤΑ ΚΑΙ </w:t>
      </w:r>
      <w:r w:rsidR="00120AC4" w:rsidRPr="00120AC4">
        <w:rPr>
          <w:rFonts w:cstheme="minorHAnsi"/>
          <w:sz w:val="24"/>
          <w:szCs w:val="24"/>
          <w:u w:val="single"/>
        </w:rPr>
        <w:t>Π</w:t>
      </w:r>
      <w:r w:rsidRPr="00120AC4">
        <w:rPr>
          <w:rFonts w:cstheme="minorHAnsi"/>
          <w:sz w:val="24"/>
          <w:szCs w:val="24"/>
          <w:u w:val="single"/>
        </w:rPr>
        <w:t>ΟΙΝΙΚΟ ΜΗΤΡΩΟ</w:t>
      </w:r>
      <w:r w:rsidR="00F9246F" w:rsidRPr="00120AC4">
        <w:rPr>
          <w:rFonts w:cstheme="minorHAnsi"/>
          <w:sz w:val="24"/>
          <w:szCs w:val="24"/>
          <w:u w:val="single"/>
        </w:rPr>
        <w:t xml:space="preserve"> ΦΟΡΕΩΝ</w:t>
      </w:r>
    </w:p>
    <w:p w:rsidR="00537C21" w:rsidRPr="00035BDD" w:rsidRDefault="00035BDD" w:rsidP="00120AC4">
      <w:pPr>
        <w:tabs>
          <w:tab w:val="left" w:pos="284"/>
        </w:tabs>
        <w:spacing w:after="120" w:line="360" w:lineRule="auto"/>
        <w:ind w:left="-284"/>
        <w:jc w:val="both"/>
        <w:rPr>
          <w:rFonts w:ascii="Calibri" w:eastAsia="Calibri" w:hAnsi="Calibri" w:cs="Calibri"/>
          <w:sz w:val="24"/>
          <w:szCs w:val="24"/>
        </w:rPr>
      </w:pPr>
      <w:r w:rsidRPr="00035BDD">
        <w:rPr>
          <w:rFonts w:cstheme="minorHAnsi"/>
          <w:sz w:val="24"/>
          <w:szCs w:val="24"/>
        </w:rPr>
        <w:t>1. Ο</w:t>
      </w:r>
      <w:r w:rsidR="00537C21" w:rsidRPr="00035BDD">
        <w:rPr>
          <w:rFonts w:cstheme="minorHAnsi"/>
          <w:sz w:val="24"/>
          <w:szCs w:val="24"/>
        </w:rPr>
        <w:t>ι φορείς της αλλοδαπής εξαιρούνται από την υποχρέωση προσκόμισης φορολογικής ενημερότητας, ασφαλιστικής ενημερότητας και αποσπάσματος ποινικού μητρώου.</w:t>
      </w:r>
    </w:p>
    <w:p w:rsidR="00537C21" w:rsidRPr="00035BDD" w:rsidRDefault="00035BDD" w:rsidP="00120AC4">
      <w:pPr>
        <w:pStyle w:val="ListParagraph"/>
        <w:tabs>
          <w:tab w:val="left" w:pos="284"/>
        </w:tabs>
        <w:spacing w:line="360" w:lineRule="auto"/>
        <w:ind w:left="-284"/>
        <w:contextualSpacing w:val="0"/>
        <w:jc w:val="both"/>
        <w:rPr>
          <w:rFonts w:ascii="Calibri" w:eastAsia="Calibri" w:hAnsi="Calibri" w:cs="Calibri"/>
          <w:sz w:val="24"/>
          <w:szCs w:val="24"/>
        </w:rPr>
      </w:pPr>
      <w:r w:rsidRPr="00035BDD">
        <w:rPr>
          <w:rFonts w:ascii="Calibri" w:eastAsia="Calibri" w:hAnsi="Calibri" w:cs="Calibri"/>
          <w:sz w:val="24"/>
          <w:szCs w:val="24"/>
        </w:rPr>
        <w:t xml:space="preserve">2. </w:t>
      </w:r>
      <w:r w:rsidR="00F003D7" w:rsidRPr="00035BDD">
        <w:rPr>
          <w:rFonts w:ascii="Calibri" w:eastAsia="Calibri" w:hAnsi="Calibri" w:cs="Calibri"/>
          <w:sz w:val="24"/>
          <w:szCs w:val="24"/>
        </w:rPr>
        <w:t xml:space="preserve"> </w:t>
      </w:r>
      <w:r w:rsidR="00537C21" w:rsidRPr="00035BDD">
        <w:rPr>
          <w:rFonts w:ascii="Calibri" w:eastAsia="Calibri" w:hAnsi="Calibri" w:cs="Calibri"/>
          <w:sz w:val="24"/>
          <w:szCs w:val="24"/>
        </w:rPr>
        <w:t xml:space="preserve">Το όριο για την προσκόμιση φορολογικής και ασφαλιστικής ενημερότητας και ποινικού μητρώου για προμήθειες από το εσωτερικό παραμένει </w:t>
      </w:r>
      <w:r w:rsidRPr="00035BDD">
        <w:rPr>
          <w:rFonts w:ascii="Calibri" w:eastAsia="Calibri" w:hAnsi="Calibri" w:cs="Calibri"/>
          <w:sz w:val="24"/>
          <w:szCs w:val="24"/>
        </w:rPr>
        <w:t xml:space="preserve">στις </w:t>
      </w:r>
      <w:r w:rsidR="00537C21" w:rsidRPr="00035BDD">
        <w:rPr>
          <w:rFonts w:ascii="Calibri" w:eastAsia="Calibri" w:hAnsi="Calibri" w:cs="Calibri"/>
          <w:sz w:val="24"/>
          <w:szCs w:val="24"/>
        </w:rPr>
        <w:t>2.500,00</w:t>
      </w:r>
      <w:r w:rsidRPr="00035BDD">
        <w:rPr>
          <w:rFonts w:ascii="Calibri" w:eastAsia="Calibri" w:hAnsi="Calibri" w:cs="Calibri"/>
          <w:sz w:val="24"/>
          <w:szCs w:val="24"/>
        </w:rPr>
        <w:t>€</w:t>
      </w:r>
      <w:r w:rsidR="00537C21" w:rsidRPr="00035BDD">
        <w:rPr>
          <w:rFonts w:cstheme="minorHAnsi"/>
          <w:sz w:val="24"/>
          <w:szCs w:val="24"/>
        </w:rPr>
        <w:t xml:space="preserve"> καθαρή αξία.</w:t>
      </w:r>
      <w:r w:rsidR="00537C21" w:rsidRPr="00035BDD">
        <w:rPr>
          <w:rFonts w:ascii="Calibri" w:eastAsia="Calibri" w:hAnsi="Calibri" w:cs="Calibri"/>
          <w:sz w:val="24"/>
          <w:szCs w:val="24"/>
        </w:rPr>
        <w:t xml:space="preserve"> </w:t>
      </w:r>
    </w:p>
    <w:p w:rsidR="00CC20E3" w:rsidRPr="00120AC4" w:rsidRDefault="00537C21" w:rsidP="00120AC4">
      <w:pPr>
        <w:tabs>
          <w:tab w:val="left" w:pos="-284"/>
        </w:tabs>
        <w:spacing w:line="360" w:lineRule="auto"/>
        <w:ind w:left="-284"/>
        <w:jc w:val="both"/>
        <w:rPr>
          <w:rFonts w:cstheme="minorHAnsi"/>
          <w:b/>
          <w:sz w:val="24"/>
          <w:szCs w:val="24"/>
          <w:u w:val="single"/>
        </w:rPr>
      </w:pPr>
      <w:r w:rsidRPr="00120AC4">
        <w:rPr>
          <w:rFonts w:cstheme="minorHAnsi"/>
          <w:b/>
          <w:sz w:val="24"/>
          <w:szCs w:val="24"/>
          <w:u w:val="single"/>
        </w:rPr>
        <w:t xml:space="preserve">Β. </w:t>
      </w:r>
      <w:r w:rsidR="00F9246F" w:rsidRPr="00120AC4">
        <w:rPr>
          <w:rFonts w:cstheme="minorHAnsi"/>
          <w:b/>
          <w:sz w:val="24"/>
          <w:szCs w:val="24"/>
          <w:u w:val="single"/>
        </w:rPr>
        <w:t>ΑΠΑΣΧΟΛΗΣΗ ΠΡΟΣΩΠΙΚΟΥ ΤΟΥ ΙΔΡΥΜΑΤΟΣ ΣΕ ΕΡΓΑ</w:t>
      </w:r>
      <w:r w:rsidRPr="00120AC4">
        <w:rPr>
          <w:rFonts w:cstheme="minorHAnsi"/>
          <w:b/>
          <w:sz w:val="24"/>
          <w:szCs w:val="24"/>
          <w:u w:val="single"/>
        </w:rPr>
        <w:t xml:space="preserve"> </w:t>
      </w:r>
    </w:p>
    <w:p w:rsidR="00AB6C17" w:rsidRPr="00035BDD" w:rsidRDefault="00537C21" w:rsidP="00120AC4">
      <w:pPr>
        <w:spacing w:line="360" w:lineRule="auto"/>
        <w:ind w:left="-284"/>
        <w:jc w:val="both"/>
        <w:rPr>
          <w:rFonts w:cstheme="minorHAnsi"/>
          <w:sz w:val="24"/>
          <w:szCs w:val="24"/>
        </w:rPr>
      </w:pPr>
      <w:r w:rsidRPr="00035BDD">
        <w:rPr>
          <w:rFonts w:cstheme="minorHAnsi"/>
          <w:sz w:val="24"/>
          <w:szCs w:val="24"/>
        </w:rPr>
        <w:t xml:space="preserve">1. </w:t>
      </w:r>
      <w:r w:rsidR="00AB6C17" w:rsidRPr="00035BDD">
        <w:rPr>
          <w:rFonts w:cstheme="minorHAnsi"/>
          <w:sz w:val="24"/>
          <w:szCs w:val="24"/>
        </w:rPr>
        <w:t>«</w:t>
      </w:r>
      <w:r w:rsidRPr="00035BDD">
        <w:rPr>
          <w:rFonts w:cstheme="minorHAnsi"/>
          <w:i/>
          <w:sz w:val="24"/>
          <w:szCs w:val="24"/>
        </w:rPr>
        <w:t>Η συμμετοχή μελών Διδακτικού Ερευνητικού Προσωπικού (Δ.Ε.Π.), Ειδικού Εκπαιδευτικού Προσωπικού (Ε.Ε.Π.), Εργαστηριακού Διδακτικού Προσωπικού (Ε.ΔΙ.Π.) και Ειδικού Τεχνικού Εργαστηριακού Προσωπικού (Ε.Τ.Ε.Π.) των Ανώτατων Εκπαιδευτικών Ιδρυμάτων (Α.Ε.Ι.) σε έργα/προγράμματα των Ειδικών Λογαριασμών Κονδυλίων Έρευνας (Ε.Λ.Κ.Ε.) των Α.Ε.Ι. συνιστά επιτρεπτή πρόσθετη απασχόληση, υπό την προϋπόθεση ότι εκτελούν τα διδακτικά και λοιπά τους καθήκοντα, όπως αυτά ορίζονται ανά περίπτωση και δεν συνιστά ή προϋποθέτει την άσκηση επιχειρηματικής δραστηριότητας»</w:t>
      </w:r>
      <w:r w:rsidR="00AB6C17" w:rsidRPr="00035BDD">
        <w:rPr>
          <w:rFonts w:cstheme="minorHAnsi"/>
          <w:i/>
          <w:sz w:val="24"/>
          <w:szCs w:val="24"/>
        </w:rPr>
        <w:t xml:space="preserve"> </w:t>
      </w:r>
    </w:p>
    <w:p w:rsidR="00F9246F" w:rsidRPr="00120AC4" w:rsidRDefault="00120AC4" w:rsidP="00120AC4">
      <w:pPr>
        <w:spacing w:after="120" w:line="360" w:lineRule="auto"/>
        <w:ind w:left="-284"/>
        <w:jc w:val="both"/>
        <w:rPr>
          <w:rFonts w:cstheme="minorHAnsi"/>
          <w:sz w:val="24"/>
          <w:szCs w:val="24"/>
          <w:u w:val="single"/>
        </w:rPr>
      </w:pPr>
      <w:r w:rsidRPr="00120AC4">
        <w:rPr>
          <w:rFonts w:cstheme="minorHAnsi"/>
          <w:sz w:val="24"/>
          <w:szCs w:val="24"/>
          <w:u w:val="single"/>
        </w:rPr>
        <w:t>ΠΛΗΡΩΜΕΣ</w:t>
      </w:r>
      <w:r w:rsidR="00F9246F" w:rsidRPr="00120AC4">
        <w:rPr>
          <w:rFonts w:cstheme="minorHAnsi"/>
          <w:sz w:val="24"/>
          <w:szCs w:val="24"/>
          <w:u w:val="single"/>
        </w:rPr>
        <w:t xml:space="preserve"> ΜΕΛΩΝ ΔΕΠ</w:t>
      </w:r>
      <w:r w:rsidRPr="00120AC4">
        <w:rPr>
          <w:rFonts w:cstheme="minorHAnsi"/>
          <w:sz w:val="24"/>
          <w:szCs w:val="24"/>
          <w:u w:val="single"/>
        </w:rPr>
        <w:t xml:space="preserve"> ΜΕ ΤΠΥ</w:t>
      </w:r>
    </w:p>
    <w:p w:rsidR="00537C21" w:rsidRDefault="00537C21" w:rsidP="00120AC4">
      <w:pPr>
        <w:spacing w:line="360" w:lineRule="auto"/>
        <w:ind w:left="-284"/>
        <w:jc w:val="both"/>
        <w:rPr>
          <w:rFonts w:cstheme="minorHAnsi"/>
          <w:sz w:val="24"/>
          <w:szCs w:val="24"/>
        </w:rPr>
      </w:pPr>
      <w:r w:rsidRPr="00035BDD">
        <w:rPr>
          <w:rFonts w:cstheme="minorHAnsi"/>
          <w:i/>
          <w:sz w:val="24"/>
          <w:szCs w:val="24"/>
        </w:rPr>
        <w:t xml:space="preserve"> </w:t>
      </w:r>
      <w:r w:rsidR="005B3F79" w:rsidRPr="00035BDD">
        <w:rPr>
          <w:rFonts w:cstheme="minorHAnsi"/>
          <w:sz w:val="24"/>
          <w:szCs w:val="24"/>
        </w:rPr>
        <w:t xml:space="preserve">Σύμφωνα με την </w:t>
      </w:r>
      <w:r w:rsidRPr="00035BDD">
        <w:rPr>
          <w:rFonts w:cstheme="minorHAnsi"/>
          <w:sz w:val="24"/>
          <w:szCs w:val="24"/>
        </w:rPr>
        <w:t xml:space="preserve">παραπάνω </w:t>
      </w:r>
      <w:r w:rsidR="005B3F79" w:rsidRPr="00035BDD">
        <w:rPr>
          <w:rFonts w:cstheme="minorHAnsi"/>
          <w:sz w:val="24"/>
          <w:szCs w:val="24"/>
        </w:rPr>
        <w:t>διάταξη</w:t>
      </w:r>
      <w:r w:rsidR="00E3248E" w:rsidRPr="00035BDD">
        <w:rPr>
          <w:rFonts w:cstheme="minorHAnsi"/>
          <w:sz w:val="24"/>
          <w:szCs w:val="24"/>
        </w:rPr>
        <w:t xml:space="preserve"> τα μέλη ΔΕΠ που διαθέτουν τιμολόγιο</w:t>
      </w:r>
      <w:r w:rsidR="00F003D7" w:rsidRPr="00035BDD">
        <w:rPr>
          <w:rFonts w:cstheme="minorHAnsi"/>
          <w:sz w:val="24"/>
          <w:szCs w:val="24"/>
        </w:rPr>
        <w:t xml:space="preserve"> παροχής υπηρεσιών</w:t>
      </w:r>
      <w:r w:rsidR="00E3248E" w:rsidRPr="00035BDD">
        <w:rPr>
          <w:rFonts w:cstheme="minorHAnsi"/>
          <w:sz w:val="24"/>
          <w:szCs w:val="24"/>
        </w:rPr>
        <w:t xml:space="preserve"> δεν θα το χρησιμοποιούν για την αμοιβή τους από έργα/προγράμματα του ΕΛΚΕ.  Οι συμβάσεις των μελών ΔΕΠ με τον ΕΛΚΕ θα εκκαθαρίζονται ως πρόσθετες αμοιβές.</w:t>
      </w:r>
    </w:p>
    <w:p w:rsidR="00F9246F" w:rsidRPr="00120AC4" w:rsidRDefault="00F9246F" w:rsidP="00120AC4">
      <w:pPr>
        <w:spacing w:after="120" w:line="360" w:lineRule="auto"/>
        <w:ind w:left="-284"/>
        <w:jc w:val="both"/>
        <w:rPr>
          <w:rFonts w:cstheme="minorHAnsi"/>
          <w:sz w:val="24"/>
          <w:szCs w:val="24"/>
          <w:u w:val="single"/>
        </w:rPr>
      </w:pPr>
      <w:r w:rsidRPr="00120AC4">
        <w:rPr>
          <w:rFonts w:cstheme="minorHAnsi"/>
          <w:sz w:val="24"/>
          <w:szCs w:val="24"/>
          <w:u w:val="single"/>
        </w:rPr>
        <w:t>ΑΙΤΗΜΑ ΕΓΚΡΙΣΗΣ ΑΠΑΣΧΟΛΗΣΗΣ ΠΡΟΣΩΠΙΚΟΥ ΤΟΥ ΙΔΡΥΜΑΤΟΣ ΣΕ ΕΡΓΑ</w:t>
      </w:r>
    </w:p>
    <w:p w:rsidR="00AB6C17" w:rsidRPr="00F9246F" w:rsidRDefault="00F003D7" w:rsidP="00120AC4">
      <w:pPr>
        <w:spacing w:after="120" w:line="360" w:lineRule="auto"/>
        <w:ind w:left="-284"/>
        <w:jc w:val="both"/>
        <w:rPr>
          <w:rFonts w:cstheme="minorHAnsi"/>
          <w:sz w:val="24"/>
          <w:szCs w:val="24"/>
        </w:rPr>
      </w:pPr>
      <w:r w:rsidRPr="00035BDD">
        <w:rPr>
          <w:rFonts w:cstheme="minorHAnsi"/>
          <w:sz w:val="24"/>
          <w:szCs w:val="24"/>
        </w:rPr>
        <w:t>Για τα</w:t>
      </w:r>
      <w:r w:rsidR="00D63F3B" w:rsidRPr="00035BDD">
        <w:rPr>
          <w:rFonts w:cstheme="minorHAnsi"/>
          <w:sz w:val="24"/>
          <w:szCs w:val="24"/>
        </w:rPr>
        <w:t xml:space="preserve"> μέλη της ομάδας έργου </w:t>
      </w:r>
      <w:r w:rsidRPr="00035BDD">
        <w:rPr>
          <w:rFonts w:cstheme="minorHAnsi"/>
          <w:sz w:val="24"/>
          <w:szCs w:val="24"/>
        </w:rPr>
        <w:t xml:space="preserve">που ανήκουν στις </w:t>
      </w:r>
      <w:r w:rsidR="00D63F3B" w:rsidRPr="00035BDD">
        <w:rPr>
          <w:rFonts w:cstheme="minorHAnsi"/>
          <w:sz w:val="24"/>
          <w:szCs w:val="24"/>
        </w:rPr>
        <w:t xml:space="preserve">κατηγορίες μέλη Δ.Ε.Π., </w:t>
      </w:r>
      <w:r w:rsidR="00AB6C17" w:rsidRPr="00035BDD">
        <w:rPr>
          <w:rFonts w:cstheme="minorHAnsi"/>
          <w:sz w:val="24"/>
          <w:szCs w:val="24"/>
        </w:rPr>
        <w:t>Ε.Ε.Π</w:t>
      </w:r>
      <w:r w:rsidR="00D63F3B" w:rsidRPr="00035BDD">
        <w:rPr>
          <w:rFonts w:cstheme="minorHAnsi"/>
          <w:sz w:val="24"/>
          <w:szCs w:val="24"/>
        </w:rPr>
        <w:t>, Ε.ΔΙ.Π., Ε.Τ.Ε.Π.</w:t>
      </w:r>
      <w:r w:rsidR="00AB6C17" w:rsidRPr="00035BDD">
        <w:rPr>
          <w:rFonts w:cstheme="minorHAnsi"/>
          <w:sz w:val="24"/>
          <w:szCs w:val="24"/>
        </w:rPr>
        <w:t xml:space="preserve"> του ΕΜΠ ή άλλων ΑΕΙ,</w:t>
      </w:r>
      <w:r w:rsidR="00D63F3B" w:rsidRPr="00035BDD">
        <w:rPr>
          <w:rFonts w:cstheme="minorHAnsi"/>
          <w:sz w:val="24"/>
          <w:szCs w:val="24"/>
        </w:rPr>
        <w:t xml:space="preserve"> υπάλληλοι με σχέση δημοσίου δικαίου ή </w:t>
      </w:r>
      <w:r w:rsidR="00AB6C17" w:rsidRPr="00035BDD">
        <w:rPr>
          <w:rFonts w:cstheme="minorHAnsi"/>
          <w:sz w:val="24"/>
          <w:szCs w:val="24"/>
        </w:rPr>
        <w:t>ΙΔΑΧ</w:t>
      </w:r>
      <w:r w:rsidR="00D63F3B" w:rsidRPr="00035BDD">
        <w:rPr>
          <w:rFonts w:cstheme="minorHAnsi"/>
          <w:sz w:val="24"/>
          <w:szCs w:val="24"/>
        </w:rPr>
        <w:t xml:space="preserve"> του </w:t>
      </w:r>
      <w:r w:rsidRPr="00035BDD">
        <w:rPr>
          <w:rFonts w:cstheme="minorHAnsi"/>
          <w:sz w:val="24"/>
          <w:szCs w:val="24"/>
        </w:rPr>
        <w:t>Ε.Μ.Π</w:t>
      </w:r>
      <w:r w:rsidR="00D63F3B" w:rsidRPr="00035BDD">
        <w:rPr>
          <w:rFonts w:cstheme="minorHAnsi"/>
          <w:sz w:val="24"/>
          <w:szCs w:val="24"/>
        </w:rPr>
        <w:t>.,</w:t>
      </w:r>
      <w:r w:rsidR="00AB6C17" w:rsidRPr="00035BDD">
        <w:rPr>
          <w:rFonts w:cstheme="minorHAnsi"/>
          <w:sz w:val="24"/>
          <w:szCs w:val="24"/>
        </w:rPr>
        <w:t xml:space="preserve"> </w:t>
      </w:r>
      <w:r w:rsidR="00D63F3B" w:rsidRPr="00035BDD">
        <w:rPr>
          <w:rFonts w:cstheme="minorHAnsi"/>
          <w:sz w:val="24"/>
          <w:szCs w:val="24"/>
        </w:rPr>
        <w:t xml:space="preserve">φοιτητές προγραμμάτων σπουδών πρώτου, δεύτερου και τρίτου κύκλου και </w:t>
      </w:r>
      <w:proofErr w:type="spellStart"/>
      <w:r w:rsidR="00D63F3B" w:rsidRPr="00035BDD">
        <w:rPr>
          <w:rFonts w:cstheme="minorHAnsi"/>
          <w:sz w:val="24"/>
          <w:szCs w:val="24"/>
        </w:rPr>
        <w:t>μεταδιδάκτορες</w:t>
      </w:r>
      <w:proofErr w:type="spellEnd"/>
      <w:r w:rsidR="00D63F3B" w:rsidRPr="00035BDD">
        <w:rPr>
          <w:rFonts w:cstheme="minorHAnsi"/>
          <w:sz w:val="24"/>
          <w:szCs w:val="24"/>
        </w:rPr>
        <w:t xml:space="preserve"> του </w:t>
      </w:r>
      <w:r w:rsidRPr="00035BDD">
        <w:rPr>
          <w:rFonts w:cstheme="minorHAnsi"/>
          <w:sz w:val="24"/>
          <w:szCs w:val="24"/>
        </w:rPr>
        <w:t>Ε.Μ.Π</w:t>
      </w:r>
      <w:r w:rsidR="00D63F3B" w:rsidRPr="00035BDD">
        <w:rPr>
          <w:rFonts w:cstheme="minorHAnsi"/>
          <w:sz w:val="24"/>
          <w:szCs w:val="24"/>
        </w:rPr>
        <w:t xml:space="preserve">., η απασχόλησή τους στο έργο/πρόγραμμα </w:t>
      </w:r>
      <w:r w:rsidR="00F9246F">
        <w:rPr>
          <w:rFonts w:cstheme="minorHAnsi"/>
          <w:sz w:val="24"/>
          <w:szCs w:val="24"/>
        </w:rPr>
        <w:t xml:space="preserve">θα πρέπει να </w:t>
      </w:r>
      <w:r w:rsidR="00D63F3B" w:rsidRPr="00035BDD">
        <w:rPr>
          <w:rFonts w:cstheme="minorHAnsi"/>
          <w:sz w:val="24"/>
          <w:szCs w:val="24"/>
        </w:rPr>
        <w:t xml:space="preserve">εγκρίνεται </w:t>
      </w:r>
      <w:r w:rsidR="00F9246F">
        <w:rPr>
          <w:rFonts w:cstheme="minorHAnsi"/>
          <w:sz w:val="24"/>
          <w:szCs w:val="24"/>
        </w:rPr>
        <w:t xml:space="preserve">από </w:t>
      </w:r>
      <w:r w:rsidR="00D63F3B" w:rsidRPr="00035BDD">
        <w:rPr>
          <w:rFonts w:cstheme="minorHAnsi"/>
          <w:sz w:val="24"/>
          <w:szCs w:val="24"/>
        </w:rPr>
        <w:t>τη</w:t>
      </w:r>
      <w:r w:rsidR="00F9246F">
        <w:rPr>
          <w:rFonts w:cstheme="minorHAnsi"/>
          <w:sz w:val="24"/>
          <w:szCs w:val="24"/>
        </w:rPr>
        <w:t>ν</w:t>
      </w:r>
      <w:r w:rsidR="00D63F3B" w:rsidRPr="00035BDD">
        <w:rPr>
          <w:rFonts w:cstheme="minorHAnsi"/>
          <w:sz w:val="24"/>
          <w:szCs w:val="24"/>
        </w:rPr>
        <w:t xml:space="preserve"> Επιτροπή Ερευνών, κατόπιν εισήγησης του Επιστημονικού Υπευθύνου</w:t>
      </w:r>
      <w:r w:rsidR="00F9246F">
        <w:rPr>
          <w:rFonts w:cstheme="minorHAnsi"/>
          <w:sz w:val="24"/>
          <w:szCs w:val="24"/>
        </w:rPr>
        <w:t xml:space="preserve"> (</w:t>
      </w:r>
      <w:r w:rsidR="00F9246F" w:rsidRPr="00F9246F">
        <w:rPr>
          <w:rFonts w:ascii="Calibri" w:eastAsia="Calibri" w:hAnsi="Calibri" w:cs="Calibri"/>
          <w:sz w:val="24"/>
          <w:szCs w:val="24"/>
        </w:rPr>
        <w:t>Α</w:t>
      </w:r>
      <w:r w:rsidR="00F9246F" w:rsidRPr="00F9246F">
        <w:rPr>
          <w:rFonts w:cstheme="minorHAnsi"/>
          <w:sz w:val="24"/>
          <w:szCs w:val="24"/>
        </w:rPr>
        <w:t>ί</w:t>
      </w:r>
      <w:r w:rsidR="00F9246F">
        <w:rPr>
          <w:rFonts w:cstheme="minorHAnsi"/>
          <w:sz w:val="24"/>
          <w:szCs w:val="24"/>
        </w:rPr>
        <w:t>τη</w:t>
      </w:r>
      <w:r w:rsidR="00F9246F" w:rsidRPr="00F9246F">
        <w:rPr>
          <w:rFonts w:ascii="Calibri" w:eastAsia="Calibri" w:hAnsi="Calibri" w:cs="Calibri"/>
          <w:sz w:val="24"/>
          <w:szCs w:val="24"/>
        </w:rPr>
        <w:t>μα Έγκρισης Απασχόλησης Προσωπικού στο πλαίσιο ερευνητικού έργου</w:t>
      </w:r>
      <w:r w:rsidR="00F9246F">
        <w:rPr>
          <w:rFonts w:cstheme="minorHAnsi"/>
          <w:sz w:val="24"/>
          <w:szCs w:val="24"/>
        </w:rPr>
        <w:t xml:space="preserve"> </w:t>
      </w:r>
      <w:r w:rsidR="00F9246F" w:rsidRPr="00F9246F">
        <w:rPr>
          <w:rFonts w:cstheme="minorHAnsi"/>
          <w:sz w:val="24"/>
          <w:szCs w:val="24"/>
        </w:rPr>
        <w:t>(</w:t>
      </w:r>
      <w:r w:rsidR="00F9246F" w:rsidRPr="00F9246F">
        <w:rPr>
          <w:rFonts w:ascii="Calibri" w:eastAsia="Calibri" w:hAnsi="Calibri" w:cs="Calibri"/>
          <w:sz w:val="24"/>
          <w:szCs w:val="24"/>
        </w:rPr>
        <w:t>Τεκμηριώσεις</w:t>
      </w:r>
      <w:r w:rsidR="00F9246F" w:rsidRPr="00F9246F">
        <w:rPr>
          <w:rFonts w:cstheme="minorHAnsi"/>
          <w:sz w:val="24"/>
          <w:szCs w:val="24"/>
        </w:rPr>
        <w:t>)</w:t>
      </w:r>
      <w:r w:rsidR="00120AC4">
        <w:rPr>
          <w:rFonts w:ascii="Calibri" w:eastAsia="Calibri" w:hAnsi="Calibri" w:cs="Times New Roman"/>
          <w:sz w:val="28"/>
          <w:szCs w:val="28"/>
          <w:lang w:eastAsia="el-GR"/>
        </w:rPr>
        <w:t>)</w:t>
      </w:r>
    </w:p>
    <w:p w:rsidR="00120AC4" w:rsidRDefault="00D63F3B" w:rsidP="00120AC4">
      <w:pPr>
        <w:spacing w:after="120" w:line="360" w:lineRule="auto"/>
        <w:ind w:left="-284"/>
        <w:jc w:val="both"/>
        <w:rPr>
          <w:rFonts w:cstheme="minorHAnsi"/>
          <w:sz w:val="24"/>
          <w:szCs w:val="24"/>
        </w:rPr>
      </w:pPr>
      <w:r w:rsidRPr="00035BDD">
        <w:rPr>
          <w:rFonts w:cstheme="minorHAnsi"/>
          <w:sz w:val="24"/>
          <w:szCs w:val="24"/>
        </w:rPr>
        <w:t xml:space="preserve">Η εισήγηση </w:t>
      </w:r>
      <w:r w:rsidR="00F9246F">
        <w:rPr>
          <w:rFonts w:cstheme="minorHAnsi"/>
          <w:sz w:val="24"/>
          <w:szCs w:val="24"/>
        </w:rPr>
        <w:t xml:space="preserve">θα </w:t>
      </w:r>
      <w:r w:rsidRPr="00035BDD">
        <w:rPr>
          <w:rFonts w:cstheme="minorHAnsi"/>
          <w:sz w:val="24"/>
          <w:szCs w:val="24"/>
        </w:rPr>
        <w:t xml:space="preserve">περιλαμβάνει υποχρεωτικά τη διάρκεια απασχόλησης και το ύψος των αποδοχών, που πρέπει να είναι εντός των εγκεκριμένων ορίων του προϋπολογισμού του κάθε έργου/προγράμματος. </w:t>
      </w:r>
    </w:p>
    <w:p w:rsidR="00D63F3B" w:rsidRPr="00035BDD" w:rsidRDefault="00120AC4" w:rsidP="00F003D7">
      <w:pPr>
        <w:spacing w:line="360" w:lineRule="auto"/>
        <w:ind w:left="-284"/>
        <w:jc w:val="both"/>
        <w:rPr>
          <w:rFonts w:cstheme="minorHAnsi"/>
          <w:sz w:val="24"/>
          <w:szCs w:val="24"/>
        </w:rPr>
      </w:pPr>
      <w:r>
        <w:rPr>
          <w:rFonts w:cstheme="minorHAnsi"/>
          <w:sz w:val="24"/>
          <w:szCs w:val="24"/>
        </w:rPr>
        <w:t>Τα σχετικά έντυπα θα τροποποιηθούν και  θα αναρτηθούν στην ιστοσελίδα του ΕΛΚΕ.</w:t>
      </w:r>
    </w:p>
    <w:p w:rsidR="00E3248E" w:rsidRPr="00035BDD" w:rsidRDefault="00E3248E" w:rsidP="00537C21">
      <w:pPr>
        <w:spacing w:line="360" w:lineRule="auto"/>
        <w:jc w:val="both"/>
        <w:rPr>
          <w:rFonts w:cstheme="minorHAnsi"/>
          <w:sz w:val="24"/>
          <w:szCs w:val="24"/>
        </w:rPr>
      </w:pPr>
    </w:p>
    <w:p w:rsidR="00E3248E" w:rsidRPr="00120AC4" w:rsidRDefault="00E3248E" w:rsidP="00F003D7">
      <w:pPr>
        <w:spacing w:line="360" w:lineRule="auto"/>
        <w:ind w:left="-284"/>
        <w:jc w:val="both"/>
        <w:rPr>
          <w:rFonts w:cstheme="minorHAnsi"/>
          <w:b/>
          <w:sz w:val="24"/>
          <w:szCs w:val="24"/>
          <w:u w:val="single"/>
        </w:rPr>
      </w:pPr>
      <w:r w:rsidRPr="00120AC4">
        <w:rPr>
          <w:rFonts w:cstheme="minorHAnsi"/>
          <w:b/>
          <w:sz w:val="24"/>
          <w:szCs w:val="24"/>
          <w:u w:val="single"/>
        </w:rPr>
        <w:t xml:space="preserve">Γ. </w:t>
      </w:r>
      <w:r w:rsidR="00120AC4" w:rsidRPr="00120AC4">
        <w:rPr>
          <w:rFonts w:cstheme="minorHAnsi"/>
          <w:b/>
          <w:sz w:val="24"/>
          <w:szCs w:val="24"/>
          <w:u w:val="single"/>
        </w:rPr>
        <w:t>ΑΠΟΣΒΕΣΕΙΣ ΟΡΓΑΝΩΝ</w:t>
      </w:r>
    </w:p>
    <w:p w:rsidR="00E3248E" w:rsidRPr="00035BDD" w:rsidRDefault="00E3248E" w:rsidP="00F003D7">
      <w:pPr>
        <w:spacing w:line="360" w:lineRule="auto"/>
        <w:ind w:left="-284"/>
        <w:jc w:val="both"/>
        <w:rPr>
          <w:rFonts w:cstheme="minorHAnsi"/>
          <w:sz w:val="24"/>
          <w:szCs w:val="24"/>
        </w:rPr>
      </w:pPr>
      <w:r w:rsidRPr="00035BDD">
        <w:rPr>
          <w:rFonts w:cstheme="minorHAnsi"/>
          <w:sz w:val="24"/>
          <w:szCs w:val="24"/>
        </w:rPr>
        <w:t xml:space="preserve">Ο επιστημονικός και λοιπός εξοπλισμός, καθώς και τα επιστημονικά όργανα, που αποκτώνται από τους Ε.Λ.Κ.Ε. των Α.Ε.Ι. στο πλαίσιο έργων/προγραμμάτων που διαχειρίζονται για τις ανάγκες εκτέλεσης επιστημονικής και τεχνολογικής έρευνας, αποσβένονται στο σύνολό τους, ανεξαρτήτως του ύψους της αξίας κτήσης τους, κατά την ημερομηνία λήξης του έργου/προγράμματος, στο πλαίσιο του οποίου έχουν αποκτηθεί. </w:t>
      </w:r>
    </w:p>
    <w:p w:rsidR="00E3248E" w:rsidRPr="00537C21" w:rsidRDefault="00E3248E" w:rsidP="00537C21">
      <w:pPr>
        <w:spacing w:line="360" w:lineRule="auto"/>
        <w:jc w:val="both"/>
        <w:rPr>
          <w:rFonts w:cstheme="minorHAnsi"/>
        </w:rPr>
      </w:pPr>
    </w:p>
    <w:sectPr w:rsidR="00E3248E" w:rsidRPr="00537C21" w:rsidSect="00F9246F">
      <w:pgSz w:w="11906" w:h="16838"/>
      <w:pgMar w:top="1440" w:right="1274"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C315C"/>
    <w:multiLevelType w:val="hybridMultilevel"/>
    <w:tmpl w:val="16EC9E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1A7B2D"/>
    <w:multiLevelType w:val="hybridMultilevel"/>
    <w:tmpl w:val="8776451E"/>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C21"/>
    <w:rsid w:val="00000172"/>
    <w:rsid w:val="00005505"/>
    <w:rsid w:val="00006A00"/>
    <w:rsid w:val="000134E9"/>
    <w:rsid w:val="00017A54"/>
    <w:rsid w:val="00024D99"/>
    <w:rsid w:val="00035BDD"/>
    <w:rsid w:val="00043099"/>
    <w:rsid w:val="00064887"/>
    <w:rsid w:val="000724AF"/>
    <w:rsid w:val="00080D5B"/>
    <w:rsid w:val="0008423B"/>
    <w:rsid w:val="000856C4"/>
    <w:rsid w:val="000908F2"/>
    <w:rsid w:val="00096419"/>
    <w:rsid w:val="000A3075"/>
    <w:rsid w:val="000A3A8F"/>
    <w:rsid w:val="000A4415"/>
    <w:rsid w:val="000A4D96"/>
    <w:rsid w:val="000A7F33"/>
    <w:rsid w:val="000B3D32"/>
    <w:rsid w:val="000E4C4C"/>
    <w:rsid w:val="00100FAB"/>
    <w:rsid w:val="0010257A"/>
    <w:rsid w:val="00103AE3"/>
    <w:rsid w:val="00105ACC"/>
    <w:rsid w:val="00120AC4"/>
    <w:rsid w:val="00121A22"/>
    <w:rsid w:val="00121F44"/>
    <w:rsid w:val="001322EB"/>
    <w:rsid w:val="001453DB"/>
    <w:rsid w:val="00153146"/>
    <w:rsid w:val="00155B12"/>
    <w:rsid w:val="00163405"/>
    <w:rsid w:val="00165BB8"/>
    <w:rsid w:val="00172AFA"/>
    <w:rsid w:val="0017596A"/>
    <w:rsid w:val="00175B82"/>
    <w:rsid w:val="00177563"/>
    <w:rsid w:val="001779CA"/>
    <w:rsid w:val="0018108D"/>
    <w:rsid w:val="00185879"/>
    <w:rsid w:val="00197A76"/>
    <w:rsid w:val="001B2F41"/>
    <w:rsid w:val="001C0AE8"/>
    <w:rsid w:val="001C206E"/>
    <w:rsid w:val="001C526A"/>
    <w:rsid w:val="001C6EEA"/>
    <w:rsid w:val="001C75E5"/>
    <w:rsid w:val="001D1905"/>
    <w:rsid w:val="001F2814"/>
    <w:rsid w:val="001F7C7C"/>
    <w:rsid w:val="00205D0F"/>
    <w:rsid w:val="00213AF4"/>
    <w:rsid w:val="00217FFB"/>
    <w:rsid w:val="00226A48"/>
    <w:rsid w:val="00254965"/>
    <w:rsid w:val="00256E45"/>
    <w:rsid w:val="00257293"/>
    <w:rsid w:val="00260D0A"/>
    <w:rsid w:val="00262773"/>
    <w:rsid w:val="002753D5"/>
    <w:rsid w:val="00281A1D"/>
    <w:rsid w:val="00284243"/>
    <w:rsid w:val="00292FA6"/>
    <w:rsid w:val="002940F1"/>
    <w:rsid w:val="002B6BEA"/>
    <w:rsid w:val="002C01E7"/>
    <w:rsid w:val="002C4179"/>
    <w:rsid w:val="002D2D99"/>
    <w:rsid w:val="002D5A83"/>
    <w:rsid w:val="002E3755"/>
    <w:rsid w:val="002E4413"/>
    <w:rsid w:val="002F2CF7"/>
    <w:rsid w:val="003066AB"/>
    <w:rsid w:val="003148DF"/>
    <w:rsid w:val="00317C4F"/>
    <w:rsid w:val="003335CC"/>
    <w:rsid w:val="0033531F"/>
    <w:rsid w:val="00360634"/>
    <w:rsid w:val="003A41E3"/>
    <w:rsid w:val="003B79B9"/>
    <w:rsid w:val="003C6801"/>
    <w:rsid w:val="003C74AC"/>
    <w:rsid w:val="003D039C"/>
    <w:rsid w:val="003D157F"/>
    <w:rsid w:val="003E6C08"/>
    <w:rsid w:val="003F628E"/>
    <w:rsid w:val="004078C7"/>
    <w:rsid w:val="004370D4"/>
    <w:rsid w:val="00450B77"/>
    <w:rsid w:val="004558BC"/>
    <w:rsid w:val="00474784"/>
    <w:rsid w:val="004751F0"/>
    <w:rsid w:val="004857BA"/>
    <w:rsid w:val="004952D1"/>
    <w:rsid w:val="004963DC"/>
    <w:rsid w:val="004E08EC"/>
    <w:rsid w:val="004E6939"/>
    <w:rsid w:val="004F17B2"/>
    <w:rsid w:val="004F4F97"/>
    <w:rsid w:val="005031DA"/>
    <w:rsid w:val="00510D0F"/>
    <w:rsid w:val="00527C22"/>
    <w:rsid w:val="00537C21"/>
    <w:rsid w:val="00540439"/>
    <w:rsid w:val="00551F1D"/>
    <w:rsid w:val="00560C8C"/>
    <w:rsid w:val="00562403"/>
    <w:rsid w:val="00567232"/>
    <w:rsid w:val="00571280"/>
    <w:rsid w:val="00572063"/>
    <w:rsid w:val="00576485"/>
    <w:rsid w:val="005A29B8"/>
    <w:rsid w:val="005A32B3"/>
    <w:rsid w:val="005A688A"/>
    <w:rsid w:val="005B3F79"/>
    <w:rsid w:val="005C6A1B"/>
    <w:rsid w:val="005D0734"/>
    <w:rsid w:val="005D761A"/>
    <w:rsid w:val="005D7C16"/>
    <w:rsid w:val="005E0342"/>
    <w:rsid w:val="005E4DD4"/>
    <w:rsid w:val="005F315E"/>
    <w:rsid w:val="00600140"/>
    <w:rsid w:val="00607407"/>
    <w:rsid w:val="00613B34"/>
    <w:rsid w:val="00614933"/>
    <w:rsid w:val="00622BA7"/>
    <w:rsid w:val="0062379C"/>
    <w:rsid w:val="00630AEE"/>
    <w:rsid w:val="0063530A"/>
    <w:rsid w:val="00641909"/>
    <w:rsid w:val="0065124E"/>
    <w:rsid w:val="0066767F"/>
    <w:rsid w:val="00681116"/>
    <w:rsid w:val="00690B61"/>
    <w:rsid w:val="00694499"/>
    <w:rsid w:val="006A051A"/>
    <w:rsid w:val="006A0B94"/>
    <w:rsid w:val="006A274E"/>
    <w:rsid w:val="006B6BF0"/>
    <w:rsid w:val="006F15CA"/>
    <w:rsid w:val="006F5865"/>
    <w:rsid w:val="006F6CA7"/>
    <w:rsid w:val="007002E5"/>
    <w:rsid w:val="00706103"/>
    <w:rsid w:val="007070E5"/>
    <w:rsid w:val="00717CD4"/>
    <w:rsid w:val="00717F61"/>
    <w:rsid w:val="0072275C"/>
    <w:rsid w:val="00740A65"/>
    <w:rsid w:val="00741B85"/>
    <w:rsid w:val="00741E49"/>
    <w:rsid w:val="00762188"/>
    <w:rsid w:val="00782AB9"/>
    <w:rsid w:val="007921DC"/>
    <w:rsid w:val="00797DC2"/>
    <w:rsid w:val="007A4BAE"/>
    <w:rsid w:val="007B56C0"/>
    <w:rsid w:val="007C21EA"/>
    <w:rsid w:val="007C5F24"/>
    <w:rsid w:val="007D3EF8"/>
    <w:rsid w:val="007D62DD"/>
    <w:rsid w:val="007E3367"/>
    <w:rsid w:val="007F3CDB"/>
    <w:rsid w:val="007F7CF7"/>
    <w:rsid w:val="0080258F"/>
    <w:rsid w:val="00806370"/>
    <w:rsid w:val="00823F5C"/>
    <w:rsid w:val="00831E11"/>
    <w:rsid w:val="0083597C"/>
    <w:rsid w:val="0084475D"/>
    <w:rsid w:val="00844EC9"/>
    <w:rsid w:val="00847493"/>
    <w:rsid w:val="00852AA1"/>
    <w:rsid w:val="00861F64"/>
    <w:rsid w:val="00864E57"/>
    <w:rsid w:val="00881253"/>
    <w:rsid w:val="00891074"/>
    <w:rsid w:val="00891AE8"/>
    <w:rsid w:val="0089312D"/>
    <w:rsid w:val="008A66CC"/>
    <w:rsid w:val="008B25DE"/>
    <w:rsid w:val="008C6B07"/>
    <w:rsid w:val="008D4936"/>
    <w:rsid w:val="008E472F"/>
    <w:rsid w:val="008E5AAB"/>
    <w:rsid w:val="008F04C3"/>
    <w:rsid w:val="009015E7"/>
    <w:rsid w:val="009024A1"/>
    <w:rsid w:val="009046A8"/>
    <w:rsid w:val="0093480F"/>
    <w:rsid w:val="00936AF5"/>
    <w:rsid w:val="0094477A"/>
    <w:rsid w:val="00953C6E"/>
    <w:rsid w:val="009628EB"/>
    <w:rsid w:val="00970261"/>
    <w:rsid w:val="009752AF"/>
    <w:rsid w:val="00984DFC"/>
    <w:rsid w:val="00990931"/>
    <w:rsid w:val="00994B93"/>
    <w:rsid w:val="009951DE"/>
    <w:rsid w:val="009C5AED"/>
    <w:rsid w:val="009E2BB5"/>
    <w:rsid w:val="009F40A0"/>
    <w:rsid w:val="00A05339"/>
    <w:rsid w:val="00A05A8C"/>
    <w:rsid w:val="00A06657"/>
    <w:rsid w:val="00A108E0"/>
    <w:rsid w:val="00A23D37"/>
    <w:rsid w:val="00A2769A"/>
    <w:rsid w:val="00A350E4"/>
    <w:rsid w:val="00A4082B"/>
    <w:rsid w:val="00A40E9B"/>
    <w:rsid w:val="00A431F9"/>
    <w:rsid w:val="00A52CB5"/>
    <w:rsid w:val="00A7225B"/>
    <w:rsid w:val="00A817C2"/>
    <w:rsid w:val="00A87D46"/>
    <w:rsid w:val="00A9004A"/>
    <w:rsid w:val="00A96735"/>
    <w:rsid w:val="00AA04FE"/>
    <w:rsid w:val="00AA1A92"/>
    <w:rsid w:val="00AB3C5A"/>
    <w:rsid w:val="00AB6C17"/>
    <w:rsid w:val="00AC1856"/>
    <w:rsid w:val="00AC5ED7"/>
    <w:rsid w:val="00AD69D0"/>
    <w:rsid w:val="00AE2816"/>
    <w:rsid w:val="00AE36DF"/>
    <w:rsid w:val="00AE5D7C"/>
    <w:rsid w:val="00AF3BD6"/>
    <w:rsid w:val="00AF7948"/>
    <w:rsid w:val="00B41214"/>
    <w:rsid w:val="00B47111"/>
    <w:rsid w:val="00B55109"/>
    <w:rsid w:val="00B561E0"/>
    <w:rsid w:val="00B56B33"/>
    <w:rsid w:val="00B60C19"/>
    <w:rsid w:val="00B611F6"/>
    <w:rsid w:val="00B71DD6"/>
    <w:rsid w:val="00B82725"/>
    <w:rsid w:val="00B83FE8"/>
    <w:rsid w:val="00B8740A"/>
    <w:rsid w:val="00B91AB5"/>
    <w:rsid w:val="00B94FC8"/>
    <w:rsid w:val="00BA494E"/>
    <w:rsid w:val="00BB5509"/>
    <w:rsid w:val="00BB7419"/>
    <w:rsid w:val="00BC1882"/>
    <w:rsid w:val="00BD661B"/>
    <w:rsid w:val="00BE2F8D"/>
    <w:rsid w:val="00BF73D9"/>
    <w:rsid w:val="00C0266E"/>
    <w:rsid w:val="00C02FDA"/>
    <w:rsid w:val="00C0669D"/>
    <w:rsid w:val="00C06C38"/>
    <w:rsid w:val="00C17E1B"/>
    <w:rsid w:val="00C232F0"/>
    <w:rsid w:val="00C24C8C"/>
    <w:rsid w:val="00C32B04"/>
    <w:rsid w:val="00C40301"/>
    <w:rsid w:val="00C4692B"/>
    <w:rsid w:val="00C6310C"/>
    <w:rsid w:val="00C6318C"/>
    <w:rsid w:val="00C67277"/>
    <w:rsid w:val="00C67350"/>
    <w:rsid w:val="00C72D86"/>
    <w:rsid w:val="00C84545"/>
    <w:rsid w:val="00C86464"/>
    <w:rsid w:val="00C90C6E"/>
    <w:rsid w:val="00C93860"/>
    <w:rsid w:val="00C957B6"/>
    <w:rsid w:val="00C96EFC"/>
    <w:rsid w:val="00C97A7E"/>
    <w:rsid w:val="00CB288F"/>
    <w:rsid w:val="00CB5A27"/>
    <w:rsid w:val="00CC20E3"/>
    <w:rsid w:val="00CD35D0"/>
    <w:rsid w:val="00CE1A55"/>
    <w:rsid w:val="00CE42E1"/>
    <w:rsid w:val="00CE6DC7"/>
    <w:rsid w:val="00CF5715"/>
    <w:rsid w:val="00CF5D4B"/>
    <w:rsid w:val="00D0139B"/>
    <w:rsid w:val="00D0399C"/>
    <w:rsid w:val="00D06912"/>
    <w:rsid w:val="00D17FA1"/>
    <w:rsid w:val="00D20447"/>
    <w:rsid w:val="00D37B01"/>
    <w:rsid w:val="00D41AC8"/>
    <w:rsid w:val="00D43C6A"/>
    <w:rsid w:val="00D51516"/>
    <w:rsid w:val="00D55C05"/>
    <w:rsid w:val="00D63F3B"/>
    <w:rsid w:val="00D750B7"/>
    <w:rsid w:val="00D7716A"/>
    <w:rsid w:val="00D91955"/>
    <w:rsid w:val="00D95F2E"/>
    <w:rsid w:val="00DC42A8"/>
    <w:rsid w:val="00DC7350"/>
    <w:rsid w:val="00DE2C31"/>
    <w:rsid w:val="00DE333A"/>
    <w:rsid w:val="00DE6D5E"/>
    <w:rsid w:val="00DE6DA6"/>
    <w:rsid w:val="00E01259"/>
    <w:rsid w:val="00E06EDF"/>
    <w:rsid w:val="00E2654F"/>
    <w:rsid w:val="00E30A46"/>
    <w:rsid w:val="00E3248E"/>
    <w:rsid w:val="00E553DF"/>
    <w:rsid w:val="00E609AF"/>
    <w:rsid w:val="00E644AD"/>
    <w:rsid w:val="00E6682B"/>
    <w:rsid w:val="00E71153"/>
    <w:rsid w:val="00E77CEF"/>
    <w:rsid w:val="00E81FDD"/>
    <w:rsid w:val="00E93D84"/>
    <w:rsid w:val="00EA71A3"/>
    <w:rsid w:val="00EC05A6"/>
    <w:rsid w:val="00ED0675"/>
    <w:rsid w:val="00EE0D82"/>
    <w:rsid w:val="00EE709F"/>
    <w:rsid w:val="00EE7A9E"/>
    <w:rsid w:val="00EF169F"/>
    <w:rsid w:val="00EF39D8"/>
    <w:rsid w:val="00EF4EA4"/>
    <w:rsid w:val="00EF5695"/>
    <w:rsid w:val="00EF5A12"/>
    <w:rsid w:val="00F003D7"/>
    <w:rsid w:val="00F0291E"/>
    <w:rsid w:val="00F0678D"/>
    <w:rsid w:val="00F24AF4"/>
    <w:rsid w:val="00F3321C"/>
    <w:rsid w:val="00F50482"/>
    <w:rsid w:val="00F513F6"/>
    <w:rsid w:val="00F55519"/>
    <w:rsid w:val="00F55BD0"/>
    <w:rsid w:val="00F62E20"/>
    <w:rsid w:val="00F748F1"/>
    <w:rsid w:val="00F81059"/>
    <w:rsid w:val="00F9246F"/>
    <w:rsid w:val="00FA3255"/>
    <w:rsid w:val="00FB2291"/>
    <w:rsid w:val="00FC17B2"/>
    <w:rsid w:val="00FC5CEF"/>
    <w:rsid w:val="00FF07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C21"/>
    <w:pPr>
      <w:ind w:left="720"/>
      <w:contextualSpacing/>
    </w:pPr>
  </w:style>
  <w:style w:type="paragraph" w:styleId="NormalWeb">
    <w:name w:val="Normal (Web)"/>
    <w:basedOn w:val="Normal"/>
    <w:uiPriority w:val="99"/>
    <w:semiHidden/>
    <w:unhideWhenUsed/>
    <w:rsid w:val="00537C21"/>
    <w:rPr>
      <w:rFonts w:ascii="Times New Roman" w:hAnsi="Times New Roman" w:cs="Times New Roman"/>
      <w:sz w:val="24"/>
      <w:szCs w:val="24"/>
    </w:rPr>
  </w:style>
  <w:style w:type="paragraph" w:styleId="BodyText">
    <w:name w:val="Body Text"/>
    <w:basedOn w:val="Normal"/>
    <w:link w:val="BodyTextChar"/>
    <w:semiHidden/>
    <w:rsid w:val="00035BDD"/>
    <w:pPr>
      <w:spacing w:before="120" w:after="120" w:line="36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035BDD"/>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69449">
      <w:bodyDiv w:val="1"/>
      <w:marLeft w:val="0"/>
      <w:marRight w:val="0"/>
      <w:marTop w:val="0"/>
      <w:marBottom w:val="0"/>
      <w:divBdr>
        <w:top w:val="none" w:sz="0" w:space="0" w:color="auto"/>
        <w:left w:val="none" w:sz="0" w:space="0" w:color="auto"/>
        <w:bottom w:val="none" w:sz="0" w:space="0" w:color="auto"/>
        <w:right w:val="none" w:sz="0" w:space="0" w:color="auto"/>
      </w:divBdr>
    </w:div>
    <w:div w:id="219944501">
      <w:bodyDiv w:val="1"/>
      <w:marLeft w:val="0"/>
      <w:marRight w:val="0"/>
      <w:marTop w:val="0"/>
      <w:marBottom w:val="0"/>
      <w:divBdr>
        <w:top w:val="none" w:sz="0" w:space="0" w:color="auto"/>
        <w:left w:val="none" w:sz="0" w:space="0" w:color="auto"/>
        <w:bottom w:val="none" w:sz="0" w:space="0" w:color="auto"/>
        <w:right w:val="none" w:sz="0" w:space="0" w:color="auto"/>
      </w:divBdr>
    </w:div>
    <w:div w:id="360058574">
      <w:bodyDiv w:val="1"/>
      <w:marLeft w:val="0"/>
      <w:marRight w:val="0"/>
      <w:marTop w:val="0"/>
      <w:marBottom w:val="0"/>
      <w:divBdr>
        <w:top w:val="none" w:sz="0" w:space="0" w:color="auto"/>
        <w:left w:val="none" w:sz="0" w:space="0" w:color="auto"/>
        <w:bottom w:val="none" w:sz="0" w:space="0" w:color="auto"/>
        <w:right w:val="none" w:sz="0" w:space="0" w:color="auto"/>
      </w:divBdr>
    </w:div>
    <w:div w:id="594359559">
      <w:bodyDiv w:val="1"/>
      <w:marLeft w:val="0"/>
      <w:marRight w:val="0"/>
      <w:marTop w:val="0"/>
      <w:marBottom w:val="0"/>
      <w:divBdr>
        <w:top w:val="none" w:sz="0" w:space="0" w:color="auto"/>
        <w:left w:val="none" w:sz="0" w:space="0" w:color="auto"/>
        <w:bottom w:val="none" w:sz="0" w:space="0" w:color="auto"/>
        <w:right w:val="none" w:sz="0" w:space="0" w:color="auto"/>
      </w:divBdr>
    </w:div>
    <w:div w:id="654574521">
      <w:bodyDiv w:val="1"/>
      <w:marLeft w:val="0"/>
      <w:marRight w:val="0"/>
      <w:marTop w:val="0"/>
      <w:marBottom w:val="0"/>
      <w:divBdr>
        <w:top w:val="none" w:sz="0" w:space="0" w:color="auto"/>
        <w:left w:val="none" w:sz="0" w:space="0" w:color="auto"/>
        <w:bottom w:val="none" w:sz="0" w:space="0" w:color="auto"/>
        <w:right w:val="none" w:sz="0" w:space="0" w:color="auto"/>
      </w:divBdr>
    </w:div>
    <w:div w:id="698745208">
      <w:bodyDiv w:val="1"/>
      <w:marLeft w:val="0"/>
      <w:marRight w:val="0"/>
      <w:marTop w:val="0"/>
      <w:marBottom w:val="0"/>
      <w:divBdr>
        <w:top w:val="none" w:sz="0" w:space="0" w:color="auto"/>
        <w:left w:val="none" w:sz="0" w:space="0" w:color="auto"/>
        <w:bottom w:val="none" w:sz="0" w:space="0" w:color="auto"/>
        <w:right w:val="none" w:sz="0" w:space="0" w:color="auto"/>
      </w:divBdr>
    </w:div>
    <w:div w:id="786894340">
      <w:bodyDiv w:val="1"/>
      <w:marLeft w:val="0"/>
      <w:marRight w:val="0"/>
      <w:marTop w:val="0"/>
      <w:marBottom w:val="0"/>
      <w:divBdr>
        <w:top w:val="none" w:sz="0" w:space="0" w:color="auto"/>
        <w:left w:val="none" w:sz="0" w:space="0" w:color="auto"/>
        <w:bottom w:val="none" w:sz="0" w:space="0" w:color="auto"/>
        <w:right w:val="none" w:sz="0" w:space="0" w:color="auto"/>
      </w:divBdr>
      <w:divsChild>
        <w:div w:id="2016612287">
          <w:marLeft w:val="0"/>
          <w:marRight w:val="0"/>
          <w:marTop w:val="0"/>
          <w:marBottom w:val="0"/>
          <w:divBdr>
            <w:top w:val="none" w:sz="0" w:space="0" w:color="auto"/>
            <w:left w:val="none" w:sz="0" w:space="0" w:color="auto"/>
            <w:bottom w:val="none" w:sz="0" w:space="0" w:color="auto"/>
            <w:right w:val="none" w:sz="0" w:space="0" w:color="auto"/>
          </w:divBdr>
          <w:divsChild>
            <w:div w:id="678656842">
              <w:marLeft w:val="0"/>
              <w:marRight w:val="0"/>
              <w:marTop w:val="2070"/>
              <w:marBottom w:val="0"/>
              <w:divBdr>
                <w:top w:val="none" w:sz="0" w:space="0" w:color="auto"/>
                <w:left w:val="none" w:sz="0" w:space="0" w:color="auto"/>
                <w:bottom w:val="none" w:sz="0" w:space="0" w:color="auto"/>
                <w:right w:val="none" w:sz="0" w:space="0" w:color="auto"/>
              </w:divBdr>
              <w:divsChild>
                <w:div w:id="1258828020">
                  <w:marLeft w:val="0"/>
                  <w:marRight w:val="0"/>
                  <w:marTop w:val="225"/>
                  <w:marBottom w:val="225"/>
                  <w:divBdr>
                    <w:top w:val="none" w:sz="0" w:space="0" w:color="auto"/>
                    <w:left w:val="none" w:sz="0" w:space="0" w:color="auto"/>
                    <w:bottom w:val="none" w:sz="0" w:space="0" w:color="auto"/>
                    <w:right w:val="none" w:sz="0" w:space="0" w:color="auto"/>
                  </w:divBdr>
                  <w:divsChild>
                    <w:div w:id="581648887">
                      <w:marLeft w:val="0"/>
                      <w:marRight w:val="0"/>
                      <w:marTop w:val="0"/>
                      <w:marBottom w:val="225"/>
                      <w:divBdr>
                        <w:top w:val="none" w:sz="0" w:space="0" w:color="auto"/>
                        <w:left w:val="none" w:sz="0" w:space="0" w:color="auto"/>
                        <w:bottom w:val="none" w:sz="0" w:space="0" w:color="auto"/>
                        <w:right w:val="none" w:sz="0" w:space="0" w:color="auto"/>
                      </w:divBdr>
                      <w:divsChild>
                        <w:div w:id="21147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98806">
      <w:bodyDiv w:val="1"/>
      <w:marLeft w:val="0"/>
      <w:marRight w:val="0"/>
      <w:marTop w:val="0"/>
      <w:marBottom w:val="0"/>
      <w:divBdr>
        <w:top w:val="none" w:sz="0" w:space="0" w:color="auto"/>
        <w:left w:val="none" w:sz="0" w:space="0" w:color="auto"/>
        <w:bottom w:val="none" w:sz="0" w:space="0" w:color="auto"/>
        <w:right w:val="none" w:sz="0" w:space="0" w:color="auto"/>
      </w:divBdr>
    </w:div>
    <w:div w:id="1241452798">
      <w:bodyDiv w:val="1"/>
      <w:marLeft w:val="0"/>
      <w:marRight w:val="0"/>
      <w:marTop w:val="0"/>
      <w:marBottom w:val="0"/>
      <w:divBdr>
        <w:top w:val="none" w:sz="0" w:space="0" w:color="auto"/>
        <w:left w:val="none" w:sz="0" w:space="0" w:color="auto"/>
        <w:bottom w:val="none" w:sz="0" w:space="0" w:color="auto"/>
        <w:right w:val="none" w:sz="0" w:space="0" w:color="auto"/>
      </w:divBdr>
    </w:div>
    <w:div w:id="1463616463">
      <w:bodyDiv w:val="1"/>
      <w:marLeft w:val="0"/>
      <w:marRight w:val="0"/>
      <w:marTop w:val="0"/>
      <w:marBottom w:val="0"/>
      <w:divBdr>
        <w:top w:val="none" w:sz="0" w:space="0" w:color="auto"/>
        <w:left w:val="none" w:sz="0" w:space="0" w:color="auto"/>
        <w:bottom w:val="none" w:sz="0" w:space="0" w:color="auto"/>
        <w:right w:val="none" w:sz="0" w:space="0" w:color="auto"/>
      </w:divBdr>
    </w:div>
    <w:div w:id="1785731191">
      <w:bodyDiv w:val="1"/>
      <w:marLeft w:val="0"/>
      <w:marRight w:val="0"/>
      <w:marTop w:val="0"/>
      <w:marBottom w:val="0"/>
      <w:divBdr>
        <w:top w:val="none" w:sz="0" w:space="0" w:color="auto"/>
        <w:left w:val="none" w:sz="0" w:space="0" w:color="auto"/>
        <w:bottom w:val="none" w:sz="0" w:space="0" w:color="auto"/>
        <w:right w:val="none" w:sz="0" w:space="0" w:color="auto"/>
      </w:divBdr>
      <w:divsChild>
        <w:div w:id="1831479224">
          <w:marLeft w:val="0"/>
          <w:marRight w:val="0"/>
          <w:marTop w:val="0"/>
          <w:marBottom w:val="0"/>
          <w:divBdr>
            <w:top w:val="none" w:sz="0" w:space="0" w:color="auto"/>
            <w:left w:val="none" w:sz="0" w:space="0" w:color="auto"/>
            <w:bottom w:val="none" w:sz="0" w:space="0" w:color="auto"/>
            <w:right w:val="none" w:sz="0" w:space="0" w:color="auto"/>
          </w:divBdr>
          <w:divsChild>
            <w:div w:id="2061055039">
              <w:marLeft w:val="0"/>
              <w:marRight w:val="0"/>
              <w:marTop w:val="2070"/>
              <w:marBottom w:val="0"/>
              <w:divBdr>
                <w:top w:val="none" w:sz="0" w:space="0" w:color="auto"/>
                <w:left w:val="none" w:sz="0" w:space="0" w:color="auto"/>
                <w:bottom w:val="none" w:sz="0" w:space="0" w:color="auto"/>
                <w:right w:val="none" w:sz="0" w:space="0" w:color="auto"/>
              </w:divBdr>
              <w:divsChild>
                <w:div w:id="1109198852">
                  <w:marLeft w:val="0"/>
                  <w:marRight w:val="0"/>
                  <w:marTop w:val="225"/>
                  <w:marBottom w:val="225"/>
                  <w:divBdr>
                    <w:top w:val="none" w:sz="0" w:space="0" w:color="auto"/>
                    <w:left w:val="none" w:sz="0" w:space="0" w:color="auto"/>
                    <w:bottom w:val="none" w:sz="0" w:space="0" w:color="auto"/>
                    <w:right w:val="none" w:sz="0" w:space="0" w:color="auto"/>
                  </w:divBdr>
                  <w:divsChild>
                    <w:div w:id="24260533">
                      <w:marLeft w:val="0"/>
                      <w:marRight w:val="0"/>
                      <w:marTop w:val="0"/>
                      <w:marBottom w:val="225"/>
                      <w:divBdr>
                        <w:top w:val="none" w:sz="0" w:space="0" w:color="auto"/>
                        <w:left w:val="none" w:sz="0" w:space="0" w:color="auto"/>
                        <w:bottom w:val="none" w:sz="0" w:space="0" w:color="auto"/>
                        <w:right w:val="none" w:sz="0" w:space="0" w:color="auto"/>
                      </w:divBdr>
                      <w:divsChild>
                        <w:div w:id="12989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9493">
      <w:bodyDiv w:val="1"/>
      <w:marLeft w:val="0"/>
      <w:marRight w:val="0"/>
      <w:marTop w:val="0"/>
      <w:marBottom w:val="0"/>
      <w:divBdr>
        <w:top w:val="none" w:sz="0" w:space="0" w:color="auto"/>
        <w:left w:val="none" w:sz="0" w:space="0" w:color="auto"/>
        <w:bottom w:val="none" w:sz="0" w:space="0" w:color="auto"/>
        <w:right w:val="none" w:sz="0" w:space="0" w:color="auto"/>
      </w:divBdr>
    </w:div>
    <w:div w:id="1984889033">
      <w:bodyDiv w:val="1"/>
      <w:marLeft w:val="0"/>
      <w:marRight w:val="0"/>
      <w:marTop w:val="0"/>
      <w:marBottom w:val="0"/>
      <w:divBdr>
        <w:top w:val="none" w:sz="0" w:space="0" w:color="auto"/>
        <w:left w:val="none" w:sz="0" w:space="0" w:color="auto"/>
        <w:bottom w:val="none" w:sz="0" w:space="0" w:color="auto"/>
        <w:right w:val="none" w:sz="0" w:space="0" w:color="auto"/>
      </w:divBdr>
    </w:div>
    <w:div w:id="21422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673</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dc:creator>
  <cp:keywords/>
  <dc:description/>
  <cp:lastModifiedBy>rcdora</cp:lastModifiedBy>
  <cp:revision>8</cp:revision>
  <dcterms:created xsi:type="dcterms:W3CDTF">2022-09-25T15:41:00Z</dcterms:created>
  <dcterms:modified xsi:type="dcterms:W3CDTF">2022-10-07T12:25:00Z</dcterms:modified>
</cp:coreProperties>
</file>