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9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7F3950" w:rsidRPr="007F3950" w:rsidTr="00602631">
        <w:trPr>
          <w:trHeight w:hRule="exact" w:val="2017"/>
        </w:trPr>
        <w:tc>
          <w:tcPr>
            <w:tcW w:w="1548" w:type="dxa"/>
          </w:tcPr>
          <w:p w:rsidR="007F3950" w:rsidRPr="00D71492" w:rsidRDefault="007F3950" w:rsidP="00602631">
            <w:pPr>
              <w:spacing w:before="120"/>
              <w:ind w:left="-64" w:right="-108"/>
              <w:jc w:val="center"/>
              <w:rPr>
                <w:b/>
                <w:sz w:val="20"/>
              </w:rPr>
            </w:pPr>
            <w:r>
              <w:rPr>
                <w:b/>
                <w:noProof/>
                <w:position w:val="14"/>
                <w:sz w:val="4"/>
              </w:rPr>
              <w:drawing>
                <wp:inline distT="0" distB="0" distL="0" distR="0">
                  <wp:extent cx="793750" cy="81978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4999" r="14999" b="6000"/>
                          <a:stretch>
                            <a:fillRect/>
                          </a:stretch>
                        </pic:blipFill>
                        <pic:spPr bwMode="auto">
                          <a:xfrm>
                            <a:off x="0" y="0"/>
                            <a:ext cx="793750" cy="819785"/>
                          </a:xfrm>
                          <a:prstGeom prst="rect">
                            <a:avLst/>
                          </a:prstGeom>
                          <a:noFill/>
                          <a:ln w="9525">
                            <a:noFill/>
                            <a:miter lim="800000"/>
                            <a:headEnd/>
                            <a:tailEnd/>
                          </a:ln>
                        </pic:spPr>
                      </pic:pic>
                    </a:graphicData>
                  </a:graphic>
                </wp:inline>
              </w:drawing>
            </w:r>
          </w:p>
        </w:tc>
        <w:tc>
          <w:tcPr>
            <w:tcW w:w="8658" w:type="dxa"/>
          </w:tcPr>
          <w:p w:rsidR="007F3950" w:rsidRDefault="007F3950" w:rsidP="00602631">
            <w:pPr>
              <w:pStyle w:val="BodyText"/>
              <w:spacing w:after="0" w:line="240" w:lineRule="auto"/>
              <w:jc w:val="center"/>
              <w:rPr>
                <w:b/>
                <w:spacing w:val="20"/>
                <w:lang w:val="el-GR"/>
              </w:rPr>
            </w:pPr>
            <w:r>
              <w:rPr>
                <w:b/>
                <w:spacing w:val="20"/>
                <w:sz w:val="28"/>
                <w:lang w:val="el-GR"/>
              </w:rPr>
              <w:t>ΕΘΝΙΚΟ ΜΕΤΣΟΒΙΟ ΠΟΛΥΤΕΧΝΕΙΟ</w:t>
            </w:r>
          </w:p>
          <w:p w:rsidR="007F3950" w:rsidRDefault="007F3950" w:rsidP="00602631">
            <w:pPr>
              <w:pStyle w:val="BodyText"/>
              <w:spacing w:after="0" w:line="240" w:lineRule="auto"/>
              <w:jc w:val="center"/>
              <w:rPr>
                <w:rFonts w:ascii="Century Gothic" w:hAnsi="Century Gothic"/>
                <w:b/>
                <w:color w:val="000080"/>
                <w:lang w:val="el-GR"/>
              </w:rPr>
            </w:pPr>
            <w:r w:rsidRPr="0074375C">
              <w:rPr>
                <w:rFonts w:ascii="Century Gothic" w:hAnsi="Century Gothic"/>
                <w:b/>
                <w:color w:val="000080"/>
                <w:spacing w:val="60"/>
                <w:sz w:val="22"/>
                <w:lang w:val="el-GR"/>
              </w:rPr>
              <w:t xml:space="preserve">ΕΙΔΙΚΟΣ ΛΟΓΑΡΙΑΣΜΟΣ ΚΟΝΔΥΛΙΩΝ ΕΡΕΥΝΑΣ </w:t>
            </w:r>
            <w:r w:rsidRPr="0074375C">
              <w:rPr>
                <w:rFonts w:ascii="Century Gothic" w:hAnsi="Century Gothic"/>
                <w:b/>
                <w:color w:val="000080"/>
                <w:sz w:val="22"/>
                <w:lang w:val="el-GR"/>
              </w:rPr>
              <w:t>(Ε.Λ.Κ.Ε.)</w:t>
            </w:r>
          </w:p>
          <w:p w:rsidR="007F3950" w:rsidRDefault="007F3950" w:rsidP="00602631">
            <w:pPr>
              <w:pStyle w:val="BodyText"/>
              <w:spacing w:after="0" w:line="240" w:lineRule="auto"/>
              <w:ind w:left="-108"/>
              <w:jc w:val="center"/>
              <w:rPr>
                <w:rFonts w:ascii="Century Gothic" w:hAnsi="Century Gothic"/>
                <w:b/>
                <w:color w:val="000080"/>
                <w:spacing w:val="80"/>
                <w:lang w:val="el-GR"/>
              </w:rPr>
            </w:pPr>
            <w:r w:rsidRPr="00D811B9">
              <w:rPr>
                <w:rFonts w:ascii="Century Gothic" w:hAnsi="Century Gothic"/>
                <w:b/>
                <w:color w:val="000080"/>
                <w:spacing w:val="30"/>
                <w:sz w:val="22"/>
                <w:lang w:val="el-GR"/>
              </w:rPr>
              <w:t>Μονάδα Οικονομικής και Διοικητικής Υποστήριξης</w:t>
            </w:r>
            <w:r>
              <w:rPr>
                <w:rFonts w:ascii="Century Gothic" w:hAnsi="Century Gothic"/>
                <w:b/>
                <w:color w:val="000080"/>
                <w:sz w:val="22"/>
                <w:lang w:val="el-GR"/>
              </w:rPr>
              <w:t xml:space="preserve"> (Μ.Ο.Δ.Υ.)</w:t>
            </w:r>
          </w:p>
          <w:p w:rsidR="007F3950" w:rsidRPr="00D71492" w:rsidRDefault="007F3950" w:rsidP="00602631">
            <w:pPr>
              <w:spacing w:before="120"/>
              <w:ind w:left="-130"/>
              <w:jc w:val="center"/>
              <w:rPr>
                <w:rFonts w:ascii="Century Gothic" w:hAnsi="Century Gothic" w:cs="Tahoma"/>
                <w:sz w:val="18"/>
              </w:rPr>
            </w:pPr>
            <w:r w:rsidRPr="00D71492">
              <w:rPr>
                <w:rFonts w:ascii="Century Gothic" w:hAnsi="Century Gothic" w:cs="Tahoma"/>
                <w:sz w:val="18"/>
              </w:rPr>
              <w:t xml:space="preserve">Ηρώων Πολυτεχνείου 9, </w:t>
            </w:r>
            <w:proofErr w:type="spellStart"/>
            <w:r w:rsidRPr="00D71492">
              <w:rPr>
                <w:rFonts w:ascii="Century Gothic" w:hAnsi="Century Gothic" w:cs="Tahoma"/>
                <w:sz w:val="18"/>
              </w:rPr>
              <w:t>Πολυτεχνειούπολη</w:t>
            </w:r>
            <w:proofErr w:type="spellEnd"/>
            <w:r w:rsidRPr="00D71492">
              <w:rPr>
                <w:rFonts w:ascii="Century Gothic" w:hAnsi="Century Gothic" w:cs="Tahoma"/>
                <w:sz w:val="18"/>
              </w:rPr>
              <w:t xml:space="preserve"> Ζωγράφου, 157 80  Αθήνα.  </w:t>
            </w:r>
          </w:p>
          <w:p w:rsidR="007F3950" w:rsidRPr="00D71492" w:rsidRDefault="007F3950" w:rsidP="00602631">
            <w:pPr>
              <w:spacing w:before="120"/>
              <w:ind w:left="-130"/>
              <w:jc w:val="center"/>
              <w:rPr>
                <w:rFonts w:ascii="Tahoma" w:hAnsi="Tahoma" w:cs="Tahoma"/>
                <w:b/>
                <w:sz w:val="18"/>
                <w:lang w:val="en-US"/>
              </w:rPr>
            </w:pPr>
            <w:r w:rsidRPr="00D71492">
              <w:rPr>
                <w:rFonts w:ascii="Century Gothic" w:hAnsi="Century Gothic" w:cs="Tahoma"/>
                <w:sz w:val="18"/>
              </w:rPr>
              <w:sym w:font="Wingdings" w:char="F028"/>
            </w:r>
            <w:r w:rsidRPr="00D71492">
              <w:rPr>
                <w:rFonts w:ascii="Century Gothic" w:hAnsi="Century Gothic" w:cs="Tahoma"/>
                <w:sz w:val="18"/>
                <w:lang w:val="en-US"/>
              </w:rPr>
              <w:t xml:space="preserve"> 210-772 1348, e-mail: ereyna@central.ntua.gr</w:t>
            </w:r>
          </w:p>
        </w:tc>
      </w:tr>
    </w:tbl>
    <w:p w:rsidR="007F3950" w:rsidRPr="007F3950" w:rsidRDefault="007F3950" w:rsidP="007F3950">
      <w:pPr>
        <w:spacing w:after="0" w:line="240" w:lineRule="auto"/>
        <w:jc w:val="center"/>
        <w:rPr>
          <w:rFonts w:ascii="Calibri" w:eastAsia="Calibri" w:hAnsi="Calibri"/>
          <w:b/>
          <w:bCs/>
          <w:sz w:val="28"/>
          <w:szCs w:val="28"/>
        </w:rPr>
      </w:pPr>
      <w:r w:rsidRPr="007F3950">
        <w:rPr>
          <w:rFonts w:ascii="Calibri" w:eastAsia="Calibri" w:hAnsi="Calibri"/>
          <w:b/>
          <w:bCs/>
          <w:sz w:val="28"/>
          <w:szCs w:val="28"/>
        </w:rPr>
        <w:t>28/02/2022</w:t>
      </w:r>
    </w:p>
    <w:p w:rsidR="007F3950" w:rsidRPr="007F3950" w:rsidRDefault="007F3950" w:rsidP="007F3950">
      <w:pPr>
        <w:spacing w:after="0" w:line="240" w:lineRule="auto"/>
        <w:jc w:val="center"/>
        <w:rPr>
          <w:rFonts w:ascii="Calibri" w:eastAsia="Calibri" w:hAnsi="Calibri"/>
          <w:b/>
          <w:bCs/>
          <w:sz w:val="28"/>
          <w:szCs w:val="28"/>
        </w:rPr>
      </w:pPr>
    </w:p>
    <w:p w:rsidR="007F3950" w:rsidRPr="007F3950" w:rsidRDefault="007F3950" w:rsidP="007F3950">
      <w:pPr>
        <w:spacing w:after="0" w:line="240" w:lineRule="auto"/>
        <w:jc w:val="center"/>
        <w:rPr>
          <w:rFonts w:ascii="Calibri" w:eastAsia="Calibri" w:hAnsi="Calibri"/>
          <w:b/>
          <w:bCs/>
          <w:sz w:val="28"/>
          <w:szCs w:val="28"/>
        </w:rPr>
      </w:pPr>
      <w:r w:rsidRPr="007F3950">
        <w:rPr>
          <w:rFonts w:ascii="Calibri" w:eastAsia="Calibri" w:hAnsi="Calibri"/>
          <w:b/>
          <w:bCs/>
          <w:sz w:val="28"/>
          <w:szCs w:val="28"/>
        </w:rPr>
        <w:t>ΑΝΑΚΟΙΝΩΣΗ ΕΠΙΤΡΟΠΗΣ ΕΡΕΥΝΩΝ ΚΑΙ ΔΙΑΧΕΙΡΙΣΗΣ ΕΙΔΙΚΟΥ ΛΟΓΑΡΙΑΣΜΟΥ ΚΟΝΔΥΛΙΩΝ ΕΡΕΥΝΑΣ</w:t>
      </w:r>
    </w:p>
    <w:p w:rsidR="007F3950" w:rsidRPr="007F3950" w:rsidRDefault="007F3950" w:rsidP="007F3950">
      <w:pPr>
        <w:spacing w:after="0" w:line="240" w:lineRule="auto"/>
        <w:jc w:val="center"/>
        <w:rPr>
          <w:rFonts w:ascii="Calibri" w:eastAsia="Calibri" w:hAnsi="Calibri"/>
          <w:b/>
          <w:bCs/>
          <w:sz w:val="28"/>
          <w:szCs w:val="28"/>
          <w:u w:val="single"/>
        </w:rPr>
      </w:pPr>
    </w:p>
    <w:p w:rsidR="007F3950" w:rsidRPr="007F3950" w:rsidRDefault="007F3950" w:rsidP="007F3950">
      <w:pPr>
        <w:spacing w:after="0" w:line="240" w:lineRule="auto"/>
        <w:jc w:val="center"/>
        <w:rPr>
          <w:rFonts w:ascii="Calibri" w:eastAsia="Calibri" w:hAnsi="Calibri"/>
          <w:b/>
          <w:bCs/>
          <w:sz w:val="28"/>
          <w:szCs w:val="28"/>
        </w:rPr>
      </w:pPr>
      <w:r w:rsidRPr="007F3950">
        <w:rPr>
          <w:rFonts w:ascii="Calibri" w:eastAsia="Calibri" w:hAnsi="Calibri"/>
          <w:b/>
          <w:bCs/>
          <w:sz w:val="28"/>
          <w:szCs w:val="28"/>
        </w:rPr>
        <w:t xml:space="preserve">ΑΣΦΑΛΙΣΤΙΚΗ ΚΑΤΗΓΟΡΙΑ ΜΗΧΑΝΙΚΩΝ ΜΕ ΥΠΑΓΩΓΗ ΣΤΗΝ παρ. 9 του αρ. 39 του Ν . 4387/2016: </w:t>
      </w:r>
    </w:p>
    <w:p w:rsidR="007F3950" w:rsidRPr="007F3950" w:rsidRDefault="007F3950" w:rsidP="007F3950">
      <w:pPr>
        <w:spacing w:after="0" w:line="240" w:lineRule="auto"/>
        <w:jc w:val="center"/>
        <w:rPr>
          <w:rFonts w:ascii="Calibri" w:eastAsia="Calibri" w:hAnsi="Calibri"/>
          <w:b/>
          <w:bCs/>
          <w:sz w:val="28"/>
          <w:szCs w:val="28"/>
          <w:u w:val="single"/>
        </w:rPr>
      </w:pPr>
      <w:r w:rsidRPr="007F3950">
        <w:rPr>
          <w:rFonts w:ascii="Calibri" w:eastAsia="Calibri" w:hAnsi="Calibri"/>
          <w:b/>
          <w:bCs/>
          <w:sz w:val="28"/>
          <w:szCs w:val="28"/>
          <w:u w:val="single"/>
        </w:rPr>
        <w:t>Εργαλεία υπολογισμού συμβάσεων και Εντύπου 6</w:t>
      </w:r>
    </w:p>
    <w:p w:rsidR="007F3950" w:rsidRPr="007F3950" w:rsidRDefault="007F3950" w:rsidP="00A15FA7">
      <w:pPr>
        <w:spacing w:line="360" w:lineRule="auto"/>
        <w:jc w:val="both"/>
        <w:rPr>
          <w:sz w:val="28"/>
          <w:szCs w:val="28"/>
        </w:rPr>
      </w:pPr>
    </w:p>
    <w:p w:rsidR="005A2227" w:rsidRPr="00A15FA7" w:rsidRDefault="00A15FA7" w:rsidP="00A15FA7">
      <w:pPr>
        <w:spacing w:line="360" w:lineRule="auto"/>
        <w:jc w:val="both"/>
        <w:rPr>
          <w:sz w:val="28"/>
          <w:szCs w:val="28"/>
        </w:rPr>
      </w:pPr>
      <w:r w:rsidRPr="00A15FA7">
        <w:rPr>
          <w:sz w:val="28"/>
          <w:szCs w:val="28"/>
        </w:rPr>
        <w:t xml:space="preserve">Στο πληροφοριακό σύστημα </w:t>
      </w:r>
      <w:r>
        <w:rPr>
          <w:sz w:val="28"/>
          <w:szCs w:val="28"/>
        </w:rPr>
        <w:t xml:space="preserve">του ΕΛΚΕ </w:t>
      </w:r>
      <w:r w:rsidRPr="00A15FA7">
        <w:rPr>
          <w:sz w:val="28"/>
          <w:szCs w:val="28"/>
          <w:lang w:val="en-US"/>
        </w:rPr>
        <w:t>e</w:t>
      </w:r>
      <w:r w:rsidRPr="00A15FA7">
        <w:rPr>
          <w:sz w:val="28"/>
          <w:szCs w:val="28"/>
        </w:rPr>
        <w:t>-</w:t>
      </w:r>
      <w:r>
        <w:rPr>
          <w:sz w:val="28"/>
          <w:szCs w:val="28"/>
          <w:lang w:val="en-US"/>
        </w:rPr>
        <w:t>res</w:t>
      </w:r>
      <w:r w:rsidRPr="00A15FA7">
        <w:rPr>
          <w:sz w:val="28"/>
          <w:szCs w:val="28"/>
          <w:lang w:val="en-US"/>
        </w:rPr>
        <w:t>e</w:t>
      </w:r>
      <w:r>
        <w:rPr>
          <w:sz w:val="28"/>
          <w:szCs w:val="28"/>
          <w:lang w:val="en-US"/>
        </w:rPr>
        <w:t>a</w:t>
      </w:r>
      <w:r w:rsidRPr="00A15FA7">
        <w:rPr>
          <w:sz w:val="28"/>
          <w:szCs w:val="28"/>
          <w:lang w:val="en-US"/>
        </w:rPr>
        <w:t>rch</w:t>
      </w:r>
      <w:r w:rsidRPr="00A15FA7">
        <w:rPr>
          <w:sz w:val="28"/>
          <w:szCs w:val="28"/>
        </w:rPr>
        <w:t xml:space="preserve">, στο </w:t>
      </w:r>
      <w:proofErr w:type="spellStart"/>
      <w:r w:rsidRPr="00A15FA7">
        <w:rPr>
          <w:sz w:val="28"/>
          <w:szCs w:val="28"/>
        </w:rPr>
        <w:t>link</w:t>
      </w:r>
      <w:proofErr w:type="spellEnd"/>
      <w:r w:rsidRPr="00A15FA7">
        <w:rPr>
          <w:sz w:val="28"/>
          <w:szCs w:val="28"/>
        </w:rPr>
        <w:t xml:space="preserve"> </w:t>
      </w:r>
      <w:hyperlink r:id="rId6" w:history="1">
        <w:r w:rsidRPr="00514698">
          <w:rPr>
            <w:rStyle w:val="Hyperlink"/>
            <w:sz w:val="28"/>
            <w:szCs w:val="28"/>
          </w:rPr>
          <w:t>https://apps.edeil.ntua.gr</w:t>
        </w:r>
      </w:hyperlink>
      <w:r w:rsidRPr="00A15FA7">
        <w:rPr>
          <w:sz w:val="28"/>
          <w:szCs w:val="28"/>
        </w:rPr>
        <w:t>,  προστέθηκαν στα  «Ε</w:t>
      </w:r>
      <w:r w:rsidR="001844F2" w:rsidRPr="00A15FA7">
        <w:rPr>
          <w:sz w:val="28"/>
          <w:szCs w:val="28"/>
        </w:rPr>
        <w:t>ργαλεία</w:t>
      </w:r>
      <w:r w:rsidRPr="00A15FA7">
        <w:rPr>
          <w:sz w:val="28"/>
          <w:szCs w:val="28"/>
        </w:rPr>
        <w:t>» δύο νέες λειτουργικότητες:</w:t>
      </w:r>
    </w:p>
    <w:p w:rsidR="00A15FA7" w:rsidRDefault="00A15FA7" w:rsidP="00A15FA7">
      <w:pPr>
        <w:pStyle w:val="ListParagraph"/>
        <w:numPr>
          <w:ilvl w:val="1"/>
          <w:numId w:val="4"/>
        </w:numPr>
        <w:spacing w:line="360" w:lineRule="auto"/>
        <w:ind w:left="0" w:firstLine="0"/>
        <w:jc w:val="both"/>
        <w:rPr>
          <w:sz w:val="28"/>
          <w:szCs w:val="28"/>
        </w:rPr>
      </w:pPr>
      <w:proofErr w:type="spellStart"/>
      <w:r w:rsidRPr="00A15FA7">
        <w:rPr>
          <w:sz w:val="28"/>
          <w:szCs w:val="28"/>
        </w:rPr>
        <w:t>Υπολογ</w:t>
      </w:r>
      <w:proofErr w:type="spellEnd"/>
      <w:r w:rsidRPr="00A15FA7">
        <w:rPr>
          <w:sz w:val="28"/>
          <w:szCs w:val="28"/>
        </w:rPr>
        <w:t>. Συμβάσεων</w:t>
      </w:r>
    </w:p>
    <w:p w:rsidR="00A15FA7" w:rsidRDefault="00A15FA7" w:rsidP="00A15FA7">
      <w:pPr>
        <w:pStyle w:val="ListParagraph"/>
        <w:spacing w:line="360" w:lineRule="auto"/>
        <w:jc w:val="both"/>
        <w:rPr>
          <w:sz w:val="28"/>
          <w:szCs w:val="28"/>
        </w:rPr>
      </w:pPr>
      <w:r>
        <w:rPr>
          <w:sz w:val="28"/>
          <w:szCs w:val="28"/>
        </w:rPr>
        <w:t xml:space="preserve">Υπάρχει πλέον και  η δυνατότητα υπολογισμού των ποσών των </w:t>
      </w:r>
      <w:r w:rsidRPr="00A15FA7">
        <w:rPr>
          <w:sz w:val="28"/>
          <w:szCs w:val="28"/>
        </w:rPr>
        <w:t xml:space="preserve">συμβάσεων ΜΗΧΑΝΙΚΩΝ που υπάγονται στην π.9 </w:t>
      </w:r>
      <w:r w:rsidR="00C05C96">
        <w:rPr>
          <w:sz w:val="28"/>
          <w:szCs w:val="28"/>
        </w:rPr>
        <w:t xml:space="preserve">του </w:t>
      </w:r>
      <w:r w:rsidRPr="00A15FA7">
        <w:rPr>
          <w:sz w:val="28"/>
          <w:szCs w:val="28"/>
        </w:rPr>
        <w:t>α.39</w:t>
      </w:r>
      <w:r>
        <w:rPr>
          <w:sz w:val="28"/>
          <w:szCs w:val="28"/>
        </w:rPr>
        <w:t xml:space="preserve"> του Ν4387/2016</w:t>
      </w:r>
      <w:r w:rsidR="0084244F">
        <w:rPr>
          <w:sz w:val="28"/>
          <w:szCs w:val="28"/>
        </w:rPr>
        <w:t xml:space="preserve"> με τις νέες κρατήσεις επικουρικού και εφάπαξ. </w:t>
      </w:r>
    </w:p>
    <w:p w:rsidR="0084244F" w:rsidRDefault="0084244F" w:rsidP="00A15FA7">
      <w:pPr>
        <w:pStyle w:val="ListParagraph"/>
        <w:spacing w:line="360" w:lineRule="auto"/>
        <w:jc w:val="both"/>
        <w:rPr>
          <w:sz w:val="28"/>
          <w:szCs w:val="28"/>
        </w:rPr>
      </w:pPr>
      <w:r w:rsidRPr="0084244F">
        <w:rPr>
          <w:sz w:val="28"/>
          <w:szCs w:val="28"/>
        </w:rPr>
        <w:t>Για να υπολογιστούν σωστά τα ποσά των μηχανικών (λόγω επικουρικού και εφάπαξ), πριν την χρήση του εργαλείου υπολογισμού, θα πρέπει να έχουν καταχωρηθεί όλες οι συμβάσεις που αφορούν το δικαιούχο για τον οποίο γίνεται ο υπολογισμός.</w:t>
      </w:r>
    </w:p>
    <w:p w:rsidR="00A15FA7" w:rsidRPr="00A15FA7" w:rsidRDefault="00A15FA7" w:rsidP="00A15FA7">
      <w:pPr>
        <w:pStyle w:val="ListParagraph"/>
        <w:spacing w:line="360" w:lineRule="auto"/>
        <w:ind w:left="0"/>
        <w:jc w:val="both"/>
        <w:rPr>
          <w:sz w:val="28"/>
          <w:szCs w:val="28"/>
        </w:rPr>
      </w:pPr>
    </w:p>
    <w:p w:rsidR="001844F2" w:rsidRDefault="001844F2" w:rsidP="00A15FA7">
      <w:pPr>
        <w:pStyle w:val="ListParagraph"/>
        <w:numPr>
          <w:ilvl w:val="1"/>
          <w:numId w:val="4"/>
        </w:numPr>
        <w:spacing w:line="360" w:lineRule="auto"/>
        <w:ind w:left="0" w:firstLine="0"/>
        <w:jc w:val="both"/>
        <w:rPr>
          <w:sz w:val="28"/>
          <w:szCs w:val="28"/>
        </w:rPr>
      </w:pPr>
      <w:proofErr w:type="spellStart"/>
      <w:r w:rsidRPr="00A15FA7">
        <w:rPr>
          <w:sz w:val="28"/>
          <w:szCs w:val="28"/>
        </w:rPr>
        <w:t>Υπολογ</w:t>
      </w:r>
      <w:proofErr w:type="spellEnd"/>
      <w:r w:rsidR="00A15FA7">
        <w:rPr>
          <w:sz w:val="28"/>
          <w:szCs w:val="28"/>
        </w:rPr>
        <w:t>.</w:t>
      </w:r>
      <w:r w:rsidRPr="00A15FA7">
        <w:rPr>
          <w:sz w:val="28"/>
          <w:szCs w:val="28"/>
        </w:rPr>
        <w:t xml:space="preserve"> Εντύπου 6</w:t>
      </w:r>
    </w:p>
    <w:p w:rsidR="0075682F" w:rsidRDefault="0075682F" w:rsidP="0075682F">
      <w:pPr>
        <w:pStyle w:val="ListParagraph"/>
        <w:spacing w:line="360" w:lineRule="auto"/>
        <w:jc w:val="both"/>
        <w:rPr>
          <w:sz w:val="28"/>
          <w:szCs w:val="28"/>
        </w:rPr>
      </w:pPr>
      <w:r>
        <w:rPr>
          <w:sz w:val="28"/>
          <w:szCs w:val="28"/>
        </w:rPr>
        <w:t>Υπάρχει η δυνατ</w:t>
      </w:r>
      <w:r w:rsidR="00C05C96">
        <w:rPr>
          <w:sz w:val="28"/>
          <w:szCs w:val="28"/>
        </w:rPr>
        <w:t xml:space="preserve">ότητα υπολογισμού των κρατήσεων (εργαζόμενου, φόρου και εργοδότη) όσων υπάγονται </w:t>
      </w:r>
      <w:r>
        <w:rPr>
          <w:sz w:val="28"/>
          <w:szCs w:val="28"/>
        </w:rPr>
        <w:t xml:space="preserve"> </w:t>
      </w:r>
      <w:r w:rsidR="00C05C96" w:rsidRPr="00A15FA7">
        <w:rPr>
          <w:sz w:val="28"/>
          <w:szCs w:val="28"/>
        </w:rPr>
        <w:t xml:space="preserve">στην π.9 </w:t>
      </w:r>
      <w:r w:rsidR="00C05C96">
        <w:rPr>
          <w:sz w:val="28"/>
          <w:szCs w:val="28"/>
        </w:rPr>
        <w:t xml:space="preserve">του </w:t>
      </w:r>
      <w:r w:rsidR="00C05C96" w:rsidRPr="00A15FA7">
        <w:rPr>
          <w:sz w:val="28"/>
          <w:szCs w:val="28"/>
        </w:rPr>
        <w:t>α.39</w:t>
      </w:r>
      <w:r w:rsidR="00C05C96">
        <w:rPr>
          <w:sz w:val="28"/>
          <w:szCs w:val="28"/>
        </w:rPr>
        <w:t xml:space="preserve"> του Ν4387/2016.</w:t>
      </w:r>
    </w:p>
    <w:p w:rsidR="00C05C96" w:rsidRPr="00A15FA7" w:rsidRDefault="00C05C96" w:rsidP="00C05C96">
      <w:pPr>
        <w:pStyle w:val="ListParagraph"/>
        <w:numPr>
          <w:ilvl w:val="0"/>
          <w:numId w:val="2"/>
        </w:numPr>
        <w:spacing w:line="360" w:lineRule="auto"/>
        <w:jc w:val="both"/>
        <w:rPr>
          <w:sz w:val="28"/>
          <w:szCs w:val="28"/>
        </w:rPr>
      </w:pPr>
      <w:r w:rsidRPr="00A15FA7">
        <w:rPr>
          <w:sz w:val="28"/>
          <w:szCs w:val="28"/>
        </w:rPr>
        <w:t>Συμπληρώστε το ΑΦΜ του Δικαιούχου</w:t>
      </w:r>
    </w:p>
    <w:p w:rsidR="00C05C96" w:rsidRPr="00A15FA7" w:rsidRDefault="00C05C96" w:rsidP="00C05C96">
      <w:pPr>
        <w:pStyle w:val="ListParagraph"/>
        <w:numPr>
          <w:ilvl w:val="0"/>
          <w:numId w:val="2"/>
        </w:numPr>
        <w:spacing w:line="360" w:lineRule="auto"/>
        <w:jc w:val="both"/>
        <w:rPr>
          <w:sz w:val="28"/>
          <w:szCs w:val="28"/>
        </w:rPr>
      </w:pPr>
      <w:r>
        <w:rPr>
          <w:sz w:val="28"/>
          <w:szCs w:val="28"/>
        </w:rPr>
        <w:lastRenderedPageBreak/>
        <w:t>Επιλέξτε</w:t>
      </w:r>
      <w:r w:rsidRPr="00A15FA7">
        <w:rPr>
          <w:sz w:val="28"/>
          <w:szCs w:val="28"/>
        </w:rPr>
        <w:t xml:space="preserve"> με το φακό την σύμβαση για την οποία θέλετε να υπολογιστεί το ποσό του εντύπου 6</w:t>
      </w:r>
      <w:r>
        <w:rPr>
          <w:sz w:val="28"/>
          <w:szCs w:val="28"/>
        </w:rPr>
        <w:t xml:space="preserve"> (πρόσβαση στην σύμβαση του δικαιούχου έχουν οι ΕΥ και οι εξουσιοδοτημένοι για τις συμβάσεις)</w:t>
      </w:r>
    </w:p>
    <w:p w:rsidR="00C05C96" w:rsidRDefault="00C05C96" w:rsidP="00C05C96">
      <w:pPr>
        <w:pStyle w:val="ListParagraph"/>
        <w:numPr>
          <w:ilvl w:val="0"/>
          <w:numId w:val="2"/>
        </w:numPr>
        <w:spacing w:line="360" w:lineRule="auto"/>
        <w:jc w:val="both"/>
        <w:rPr>
          <w:sz w:val="28"/>
          <w:szCs w:val="28"/>
        </w:rPr>
      </w:pPr>
      <w:r w:rsidRPr="00A15FA7">
        <w:rPr>
          <w:sz w:val="28"/>
          <w:szCs w:val="28"/>
        </w:rPr>
        <w:t xml:space="preserve">Συμπληρώστε το </w:t>
      </w:r>
      <w:r w:rsidRPr="00C05C96">
        <w:rPr>
          <w:b/>
          <w:sz w:val="28"/>
          <w:szCs w:val="28"/>
        </w:rPr>
        <w:t>καθαρό ποσό του Τ.Π.Υ.</w:t>
      </w:r>
      <w:r w:rsidRPr="00A15FA7">
        <w:rPr>
          <w:sz w:val="28"/>
          <w:szCs w:val="28"/>
        </w:rPr>
        <w:t xml:space="preserve"> του δικαιούχου</w:t>
      </w:r>
    </w:p>
    <w:p w:rsidR="00C05C96" w:rsidRDefault="00C05C96" w:rsidP="00C05C96">
      <w:pPr>
        <w:pStyle w:val="ListParagraph"/>
        <w:spacing w:line="360" w:lineRule="auto"/>
        <w:ind w:left="709"/>
        <w:jc w:val="both"/>
        <w:rPr>
          <w:sz w:val="28"/>
          <w:szCs w:val="28"/>
        </w:rPr>
      </w:pPr>
      <w:r>
        <w:rPr>
          <w:sz w:val="28"/>
          <w:szCs w:val="28"/>
        </w:rPr>
        <w:t>Στη συνέχεια γίνονται όλοι οι απαραίτητοι υπολογισμοί και προκύπτει  το ποσό που θα συμπληρωθεί στο έντυπο 6.</w:t>
      </w:r>
    </w:p>
    <w:p w:rsidR="00E5497B" w:rsidRPr="00A15FA7" w:rsidRDefault="00523E93" w:rsidP="00A15FA7">
      <w:pPr>
        <w:spacing w:line="360" w:lineRule="auto"/>
        <w:jc w:val="both"/>
        <w:rPr>
          <w:sz w:val="28"/>
          <w:szCs w:val="28"/>
        </w:rPr>
      </w:pPr>
      <w:r>
        <w:rPr>
          <w:sz w:val="28"/>
          <w:szCs w:val="28"/>
        </w:rPr>
        <w:t>Γ</w:t>
      </w:r>
      <w:r w:rsidR="00E5497B" w:rsidRPr="00A15FA7">
        <w:rPr>
          <w:sz w:val="28"/>
          <w:szCs w:val="28"/>
        </w:rPr>
        <w:t>ια να υπολογιστούν σωστά τα ποσά (ειδικά των μηχανικών λόγω επικουρικού και εφάπαξ), πριν την χρήση του εργαλείου υπολογισμού</w:t>
      </w:r>
      <w:r w:rsidR="007A1491" w:rsidRPr="007A1491">
        <w:rPr>
          <w:sz w:val="28"/>
          <w:szCs w:val="28"/>
        </w:rPr>
        <w:t xml:space="preserve"> </w:t>
      </w:r>
      <w:r w:rsidR="007A1491">
        <w:rPr>
          <w:sz w:val="28"/>
          <w:szCs w:val="28"/>
        </w:rPr>
        <w:t>του Εντύπου 6</w:t>
      </w:r>
      <w:r w:rsidR="00E5497B" w:rsidRPr="00A15FA7">
        <w:rPr>
          <w:sz w:val="28"/>
          <w:szCs w:val="28"/>
        </w:rPr>
        <w:t>, θα πρέπει να έχουν εκδοθεί όλα τα εντάλματα του προηγούμενου διαστήματος που αφορούν την σύμβαση για την οποία γίνεται ο υπολογισμός, προκειμένου το «ΤΡΕΧΟΝ ΥΠΟΛΟΙΠΟ»  να συμπίπτει  με το πραγματικό</w:t>
      </w:r>
      <w:r w:rsidR="007F3950">
        <w:rPr>
          <w:sz w:val="28"/>
          <w:szCs w:val="28"/>
        </w:rPr>
        <w:t>.</w:t>
      </w:r>
    </w:p>
    <w:sectPr w:rsidR="00E5497B" w:rsidRPr="00A15FA7" w:rsidSect="005A22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469"/>
    <w:multiLevelType w:val="hybridMultilevel"/>
    <w:tmpl w:val="20E07D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DD3284"/>
    <w:multiLevelType w:val="hybridMultilevel"/>
    <w:tmpl w:val="9F6C9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C873C3"/>
    <w:multiLevelType w:val="hybridMultilevel"/>
    <w:tmpl w:val="C1ECEE64"/>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980B35"/>
    <w:multiLevelType w:val="hybridMultilevel"/>
    <w:tmpl w:val="20747FC2"/>
    <w:lvl w:ilvl="0" w:tplc="07F4964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844F2"/>
    <w:rsid w:val="000A4B02"/>
    <w:rsid w:val="00106DEF"/>
    <w:rsid w:val="001844F2"/>
    <w:rsid w:val="00523E93"/>
    <w:rsid w:val="005A2227"/>
    <w:rsid w:val="0075682F"/>
    <w:rsid w:val="007A1491"/>
    <w:rsid w:val="007F3950"/>
    <w:rsid w:val="0084244F"/>
    <w:rsid w:val="00853627"/>
    <w:rsid w:val="00A15FA7"/>
    <w:rsid w:val="00C05C96"/>
    <w:rsid w:val="00D00992"/>
    <w:rsid w:val="00DB7229"/>
    <w:rsid w:val="00E5497B"/>
    <w:rsid w:val="00E718FB"/>
    <w:rsid w:val="00F52E5F"/>
    <w:rsid w:val="00FA7F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F2"/>
    <w:pPr>
      <w:ind w:left="720"/>
      <w:contextualSpacing/>
    </w:pPr>
  </w:style>
  <w:style w:type="paragraph" w:styleId="BalloonText">
    <w:name w:val="Balloon Text"/>
    <w:basedOn w:val="Normal"/>
    <w:link w:val="BalloonTextChar"/>
    <w:uiPriority w:val="99"/>
    <w:semiHidden/>
    <w:unhideWhenUsed/>
    <w:rsid w:val="00D00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92"/>
    <w:rPr>
      <w:rFonts w:ascii="Tahoma" w:hAnsi="Tahoma" w:cs="Tahoma"/>
      <w:sz w:val="16"/>
      <w:szCs w:val="16"/>
    </w:rPr>
  </w:style>
  <w:style w:type="character" w:styleId="Hyperlink">
    <w:name w:val="Hyperlink"/>
    <w:basedOn w:val="DefaultParagraphFont"/>
    <w:uiPriority w:val="99"/>
    <w:unhideWhenUsed/>
    <w:rsid w:val="00A15FA7"/>
    <w:rPr>
      <w:color w:val="0000FF"/>
      <w:u w:val="single"/>
    </w:rPr>
  </w:style>
  <w:style w:type="paragraph" w:styleId="BodyText">
    <w:name w:val="Body Text"/>
    <w:basedOn w:val="Normal"/>
    <w:link w:val="BodyTextChar"/>
    <w:semiHidden/>
    <w:rsid w:val="007F3950"/>
    <w:pPr>
      <w:spacing w:before="120" w:after="120" w:line="36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7F3950"/>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31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deil.nt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305</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rcmthanou</dc:creator>
  <cp:lastModifiedBy>rcdora</cp:lastModifiedBy>
  <cp:revision>8</cp:revision>
  <dcterms:created xsi:type="dcterms:W3CDTF">2022-02-22T07:08:00Z</dcterms:created>
  <dcterms:modified xsi:type="dcterms:W3CDTF">2022-02-28T09:30:00Z</dcterms:modified>
</cp:coreProperties>
</file>